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6B3A"/>
          <w:sz w:val="36"/>
        </w:rPr>
        <w:t>DIAGNÓSTICO E ESTRUTURA PARA MIGRAÇÃO FINANCEIRA</w:t>
      </w:r>
    </w:p>
    <w:p>
      <w:pPr>
        <w:jc w:val="center"/>
      </w:pPr>
      <w:r>
        <w:rPr>
          <w:b/>
          <w:sz w:val="24"/>
        </w:rPr>
        <w:t>Fluxo de Caixa – Janeiro a Julho de 2026</w:t>
      </w:r>
    </w:p>
    <w:p>
      <w:pPr>
        <w:jc w:val="center"/>
      </w:pPr>
      <w:r>
        <w:rPr>
          <w:i/>
        </w:rPr>
        <w:t>Documento de organização de dados para implantação em sistema financeiro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cantSplit/>
          <w:tblHeader w:val="true"/>
        </w:trPr>
        <w:tc>
          <w:tcPr>
            <w:tcW w:type="dxa" w:w="10092"/>
            <w:shd w:fill="E8F5EC"/>
            <w:vAlign w:val="center"/>
          </w:tcPr>
          <w:p>
            <w:r/>
            <w:r>
              <w:rPr>
                <w:b/>
                <w:sz w:val="20"/>
              </w:rPr>
              <w:t>Objetivo: transformar a planilha mensal em uma base financeira única, separando receita operacional, custos/despesas, centros de custo, títulos a pagar/receber, transferências e empréstimos, sem perder a reconciliação do caixa.</w:t>
            </w:r>
          </w:p>
        </w:tc>
      </w:tr>
    </w:tbl>
    <w:p/>
    <w:p>
      <w:pPr>
        <w:pStyle w:val="Heading1"/>
        <w:keepNext/>
        <w:keepLines/>
      </w:pPr>
      <w:r>
        <w:t>1. Diagnóstico da planilha atual</w:t>
      </w:r>
    </w:p>
    <w:p>
      <w:r>
        <w:t>A planilha possui sete abas mensais e registra receitas e despesas realizadas na conta Cora. As receitas já estão parcialmente agrupadas em assessorias/consultorias, recorrências de eSocial, serviços da clínica e serviços de engenharia. As despesas são registradas em um detalhamento diário.</w:t>
      </w:r>
    </w:p>
    <w:p>
      <w:r>
        <w:t>Em janeiro e fevereiro existe também um quadro lateral de classificação de despesas e uma área de contas a pagar, porém a área de títulos não contém dados suficientes para reconstruir vencimentos, parcelas, documentos e saldos em aberto.</w:t>
      </w:r>
    </w:p>
    <w:p>
      <w:r>
        <w:t>A partir de junho, o resumo mensal passa a registrar movimentos de “Caixa NU” e “Empréstimo (E)/(S)”. Esses valores influenciam o saldo bancário, mas não podem ser tratados como receita ou despesa operacional.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Lançamentos detalhados identificados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653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Ajustes de resumo adicionados à migração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Total de registros na base normalizada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661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Recebimentos registrados nas abas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R$ 416.149,72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Receita operacional após retirar empréstimos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R$ 381.159,72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Empréstimos recebidos lançados como “receita”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R$ 34.990,00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Despesas/saídas detalhadas nas abas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R$ 377.510,98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Saldo inicial de janeiro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R$ 4.386,45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 w:val="0"/>
                <w:sz w:val="17"/>
              </w:rPr>
              <w:t>Saldo final de julho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/>
                <w:sz w:val="17"/>
              </w:rPr>
              <w:t>R$ 13.657,76</w:t>
            </w:r>
          </w:p>
        </w:tc>
      </w:tr>
    </w:tbl>
    <w:p>
      <w:pPr>
        <w:pStyle w:val="Heading1"/>
        <w:keepNext/>
        <w:keepLines/>
      </w:pPr>
      <w:r>
        <w:t>2. Reconciliação mensal do caixa</w:t>
      </w:r>
    </w:p>
    <w:p>
      <w:r>
        <w:t>A reconciliação abaixo separa receita operacional de financiamento e inclui, nas saídas, os movimentos de empréstimos e transferências registrados apenas no resumo mensal.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rPr>
          <w:cantSplit/>
          <w:tblHeader w:val="true"/>
        </w:trPr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Mês</w:t>
            </w:r>
          </w:p>
        </w:tc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Saldo inicial</w:t>
            </w:r>
          </w:p>
        </w:tc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Receita operacional</w:t>
            </w:r>
          </w:p>
        </w:tc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Entradas não operacionais</w:t>
            </w:r>
          </w:p>
        </w:tc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Total saídas</w:t>
            </w:r>
          </w:p>
        </w:tc>
        <w:tc>
          <w:tcPr>
            <w:tcW w:type="dxa" w:w="1682"/>
            <w:vAlign w:val="center"/>
            <w:shd w:fill="0B6B3A"/>
          </w:tcPr>
          <w:p>
            <w:r/>
            <w:r>
              <w:rPr>
                <w:b/>
                <w:color w:val="FFFFFF"/>
                <w:sz w:val="16"/>
              </w:rPr>
              <w:t>Saldo final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Jan/26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R$ 4.386,45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R$ 50.649,54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R$ 52.722,75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R$ 2.313,24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Fev/26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R$ 2.313,24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R$ 19.137,68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R$ 20.000,00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R$ 39.380,80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R$ 2.070,12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Mar/26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R$ 2.070,12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R$ 75.591,68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R$ 59.474,22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R$ 18.187,58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Abr/26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R$ 18.187,58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R$ 56.185,87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R$ 62.733,49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R$ 11.639,96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Mai/26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R$ 11.639,96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R$ 48.025,98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R$ 14.990,00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R$ 70.745,80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R$ 3.910,14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Jun/26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R$ 3.910,14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R$ 66.304,36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R$ 15.000,00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R$ 78.193,37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R$ 7.021,13</w:t>
            </w:r>
          </w:p>
        </w:tc>
      </w:tr>
      <w:tr>
        <w:trPr>
          <w:cantSplit/>
        </w:trPr>
        <w:tc>
          <w:tcPr>
            <w:tcW w:type="dxa" w:w="1682"/>
            <w:vAlign w:val="center"/>
          </w:tcPr>
          <w:p>
            <w:r/>
            <w:r>
              <w:rPr>
                <w:b/>
                <w:sz w:val="16"/>
              </w:rPr>
              <w:t>Jul/26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R$ 7.021,13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R$ 65.264,61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R$ 21.000,00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R$ 79.627,98</w:t>
            </w:r>
          </w:p>
        </w:tc>
        <w:tc>
          <w:tcPr>
            <w:tcW w:type="dxa" w:w="1682"/>
            <w:vAlign w:val="center"/>
          </w:tcPr>
          <w:p>
            <w:r/>
            <w:r>
              <w:rPr>
                <w:b w:val="0"/>
                <w:sz w:val="16"/>
              </w:rPr>
              <w:t>R$ 13.657,76</w:t>
            </w:r>
          </w:p>
        </w:tc>
      </w:tr>
    </w:tbl>
    <w:p>
      <w:r>
        <w:t>Observação: em julho, as entradas não operacionais totalizam R$ 21.000,00 (R$ 12.000,00 de transferência “NU” e R$ 9.000,00 de empréstimo). Em junho há R$ 15.000,00 de entrada de empréstimo, mas também saídas financeiras de R$ 29.669,13 entre empréstimo e transferência.</w:t>
      </w:r>
    </w:p>
    <w:p>
      <w:pPr>
        <w:pStyle w:val="Heading1"/>
        <w:keepNext/>
        <w:keepLines/>
      </w:pPr>
      <w:r>
        <w:t>3. Inconsistências e pontos que precisam ser validados antes da carga definitiva</w:t>
      </w:r>
    </w:p>
    <w:p>
      <w:pPr>
        <w:ind w:left="170"/>
      </w:pPr>
      <w:r>
        <w:rPr>
          <w:b/>
        </w:rPr>
        <w:t xml:space="preserve">Abril – caixa inicial: </w:t>
      </w:r>
      <w:r>
        <w:t>O campo apresenta erro de fórmula. Para reconciliar a sequência mensal, o caixa inicial correto é R$ 18.187,58, igual ao saldo final de março.</w:t>
      </w:r>
    </w:p>
    <w:p>
      <w:pPr>
        <w:ind w:left="170"/>
      </w:pPr>
      <w:r>
        <w:rPr>
          <w:b/>
        </w:rPr>
        <w:t xml:space="preserve">Fevereiro – classificação lateral: </w:t>
      </w:r>
      <w:r>
        <w:t>O detalhamento de despesas soma R$ 39.380,80, enquanto o quadro lateral classificado soma R$ 39.310,31. A diferença é R$ 70,49, valor que coincide com “Compra Suporte Descarpack”.</w:t>
      </w:r>
    </w:p>
    <w:p>
      <w:pPr>
        <w:ind w:left="170"/>
      </w:pPr>
      <w:r>
        <w:rPr>
          <w:b/>
        </w:rPr>
        <w:t xml:space="preserve">Receitas sem data: </w:t>
      </w:r>
      <w:r>
        <w:t>Foram localizados 8 recebimentos sem data de movimento, concentrados em janeiro e fevereiro. Eles não devem ser importados com data presumida.</w:t>
      </w:r>
    </w:p>
    <w:p>
      <w:pPr>
        <w:ind w:left="170"/>
      </w:pPr>
      <w:r>
        <w:rPr>
          <w:b/>
        </w:rPr>
        <w:t xml:space="preserve">Datas fora do mês: </w:t>
      </w:r>
      <w:r>
        <w:t>Há 4 registros com data incompatível com a aba mensal. O caso mais evidente é “Material de cozinha” na aba julho com data 17/09/2026.</w:t>
      </w:r>
    </w:p>
    <w:p>
      <w:pPr>
        <w:ind w:left="170"/>
      </w:pPr>
      <w:r>
        <w:rPr>
          <w:b/>
        </w:rPr>
        <w:t xml:space="preserve">Duplicidades possíveis: </w:t>
      </w:r>
      <w:r>
        <w:t>Há dois grupos que exigem conferência: “Aluguel Carro” de R$ 600,00 aparece em janeiro e novamente em fevereiro com a mesma data 02/01/2026; e há duas linhas de R$ 950,00 para “Documento Drawind” em fevereiro sem data.</w:t>
      </w:r>
    </w:p>
    <w:p>
      <w:pPr>
        <w:ind w:left="170"/>
      </w:pPr>
      <w:r>
        <w:rPr>
          <w:b/>
        </w:rPr>
        <w:t xml:space="preserve">Contas a pagar/receber: </w:t>
      </w:r>
      <w:r>
        <w:t>A planilha não possui, de forma suficiente, emissão, vencimento, documento, baixa parcial e saldo dos títulos. O histórico de caixa pode ser migrado; os títulos em aberto atuais devem ser cadastrados a partir de documentos ou relatórios de cobrança.</w:t>
      </w:r>
    </w:p>
    <w:p>
      <w:pPr>
        <w:pStyle w:val="Heading1"/>
        <w:keepNext/>
        <w:keepLines/>
      </w:pPr>
      <w:r>
        <w:t>4. Estrutura recomendada para o sistema</w:t>
      </w:r>
    </w:p>
    <w:p>
      <w:r>
        <w:t>O sistema deve usar uma única tabela de lançamentos e separar as informações por dimensões. O mês não deve ser uma estrutura física; deve ser um filtro por competência/data.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Finalidade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ID do lançamento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Identificador único e imutável.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Competência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Mês ao qual a receita/despesa pertence.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Data do movimento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Data real em que houve entrada ou saída do caixa.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Tipo de movimento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Receita, custo direto, despesa, investimento, financiamento, transferência ou liquidação financeira.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Conta financeira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Cora, NU, Caixa Interno, cartão etc.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Natureza financeira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Classificação do motivo econômico do lançamento.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Centro de custo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Área/unidade responsável pelo resultado ou consumo do recurso.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Contraparte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Cliente, fornecedor, prestador, colaborador ou instituição financeira.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Documento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NF, recibo, contrato, boleto, fatura, parcela, título ou referência.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Entrada / saída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Valor financeiro movimentado.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Previsto, em aberto, parcial, pago/recebido, vencido, cancelado.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Fonte / auditoria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Origem do dado para rastreabilidade da migração.</w:t>
            </w:r>
          </w:p>
        </w:tc>
      </w:tr>
    </w:tbl>
    <w:p>
      <w:pPr>
        <w:pStyle w:val="Heading1"/>
        <w:keepNext/>
        <w:keepLines/>
      </w:pPr>
      <w:r>
        <w:t>5. Plano de naturezas financeiras</w:t>
      </w:r>
    </w:p>
    <w:p>
      <w:r>
        <w:t>A natureza deve responder “o que é este movimento?”. Recomenda-se uma hierarquia de macro natureza &gt; natureza &gt; subnatureza. O arquivo de migração contém o catálogo completo com códigos.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Macro natureza</w:t>
            </w:r>
          </w:p>
        </w:tc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Exemplos / regra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Receita operacional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Consultoria/assessoria SST; eSocial SST; clínica/ASO; engenharia/documentos; Bombeiro Civil.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Custo direto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Laboratórios/exames; médicos/fono/RT; laudos de apoio; Bombeiros; ART/CREA; materiais técnicos.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Despesa operacional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Pessoal, pró-labore, tributos, aluguel, energia, sistemas, contabilidade, frota, materiais, marketing, capacitação.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Investimento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Equipamentos e bens que possam ser ativados conforme materialidade/critério contábil.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Financiamento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Empréstimos recebidos e saídas/amortizações. Não compõem receita/despesa operacional.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Transferência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Movimentos entre contas Cora/NU/Caixa. Não compõem resultado.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Liquidação financeira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Pagamento de fatura de cartão ou outra baixa financeira; evitar dupla contagem caso as compras já estejam detalhadas.</w:t>
            </w:r>
          </w:p>
        </w:tc>
      </w:tr>
    </w:tbl>
    <w:p>
      <w:pPr>
        <w:pStyle w:val="Heading1"/>
        <w:keepNext/>
        <w:keepLines/>
      </w:pPr>
      <w:r>
        <w:t>6. Centros de custo recomendados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  <w:tblHeader w:val="true"/>
        </w:trPr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Centro</w:t>
            </w:r>
          </w:p>
        </w:tc>
        <w:tc>
          <w:tcPr>
            <w:tcW w:type="dxa" w:w="5046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Aplicação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CC01 – Clínica Efetiva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Receitas/custos clínicos, ASOs, exames, laboratórios, médicos/RT e infraestrutura da clínica.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CC02 – Engenharia/SST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Consultoria, eSocial SST, laudos, documentos, ART/CREA e instrumentos técnicos.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CC03 – Bombeiros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Operação de Bombeiro Civil, pessoal, uniformes e credenciamento.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CC04 – Administrativo/Corporativo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Contabilidade, telecom e estruturas administrativas compartilhadas.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CC05 – Frota/Logística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Locação, combustível e manutenção de veículos.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CC06 – Comercial/Marketing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Divulgação, brindes, placas e comunicação comercial.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CC07 – Diretoria/Sócios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Pró-labore e movimentações diretamente atribuíveis à diretoria.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CC08 – Pessoal a ratear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Uso temporário para salários/vales/prestadores cuja lotação ainda não foi definida.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CC09 – Financeiro/Corporativo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Empréstimos, transferências e ajustes financeiros.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r/>
            <w:r>
              <w:rPr>
                <w:b/>
                <w:sz w:val="16"/>
              </w:rPr>
              <w:t>CC99 – A classificar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b w:val="0"/>
                <w:sz w:val="16"/>
              </w:rPr>
              <w:t>Uso temporário; deve ser zerado após saneamento.</w:t>
            </w:r>
          </w:p>
        </w:tc>
      </w:tr>
    </w:tbl>
    <w:p>
      <w:pPr>
        <w:pStyle w:val="Heading1"/>
        <w:keepNext/>
        <w:keepLines/>
      </w:pPr>
      <w:r>
        <w:t>7. Contas a pagar e contas a receber</w:t>
      </w:r>
    </w:p>
    <w:p>
      <w:r>
        <w:t>O controle de títulos deve ser separado do caixa. O título nasce na competência/emissão; o caixa só é movimentado quando ocorre a baixa. Isso permite saber o que venceu, o que ainda será pago/recebido e quanto permanece em aberto.</w:t>
      </w:r>
    </w:p>
    <w:p>
      <w:r>
        <w:rPr>
          <w:b/>
        </w:rPr>
        <w:t xml:space="preserve">Contas a pagar: </w:t>
      </w:r>
      <w:r>
        <w:t>Fornecedor; documento; emissão; competência; vencimento; natureza; centro de custo; valor original; valor pago; data de pagamento; saldo; status; conta de pagamento; parcela/total de parcelas; observação.</w:t>
      </w:r>
    </w:p>
    <w:p>
      <w:r>
        <w:rPr>
          <w:b/>
        </w:rPr>
        <w:t xml:space="preserve">Contas a receber: </w:t>
      </w:r>
      <w:r>
        <w:t>Cliente; documento; emissão; competência; vencimento; natureza de receita; centro de resultado; valor original; valor recebido; data de recebimento; saldo; status; conta de recebimento; observação.</w:t>
      </w:r>
    </w:p>
    <w:p>
      <w:r>
        <w:t>Recomendação de implantação: migrar os 661 movimentos para o histórico de caixa e cadastrar separadamente somente os títulos que estiverem efetivamente em aberto na data de corte do sistema. Não criar contas a pagar/receber históricas fictícias apenas para “preencher” o módulo.</w:t>
      </w:r>
    </w:p>
    <w:p>
      <w:pPr>
        <w:pStyle w:val="Heading1"/>
        <w:keepNext/>
        <w:keepLines/>
      </w:pPr>
      <w:r>
        <w:t>8. Empréstimos, transferências e cartões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  <w:tblHeader w:val="true"/>
        </w:trPr>
        <w:tc>
          <w:tcPr>
            <w:tcW w:type="dxa" w:w="3364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Competência</w:t>
            </w:r>
          </w:p>
        </w:tc>
        <w:tc>
          <w:tcPr>
            <w:tcW w:type="dxa" w:w="3364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64"/>
            <w:vAlign w:val="center"/>
            <w:shd w:fill="0B6B3A"/>
          </w:tcPr>
          <w:p>
            <w:r/>
            <w:r>
              <w:rPr>
                <w:b/>
                <w:color w:val="FFFFFF"/>
                <w:sz w:val="17"/>
              </w:rPr>
              <w:t>Tratamento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Fev/26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R$ 20.000,00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Entrada registrada como “Emprestimo Efetiva”. Deve ser vinculada a credor/contrato.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Mai/26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R$ 14.990,00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Entrada “Emprestimo Cora”. Não deve ser receita operacional.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Mai/26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R$ 15.945,65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Saída “Retirada – Emprestimo Cora”. Confirmar se é amortização, transferência ou retirada.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Jun/26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R$ 15.000,00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Entrada “Empréstimo (E)”. Contraparte e contrato não informados.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Jun/26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R$ 17.669,13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Saída “Empréstimo (S)”. Confirmar se amortização ou empréstimo concedido.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Jul/26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R$ 9.000,00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Entrada “Empréstimo (E)”. Contraparte e contrato não informados.</w:t>
            </w:r>
          </w:p>
        </w:tc>
      </w:tr>
      <w:tr>
        <w:trPr>
          <w:cantSplit/>
        </w:trPr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Jul/26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R$ 9.752,65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b w:val="0"/>
                <w:sz w:val="16"/>
              </w:rPr>
              <w:t>Saída “Empréstimo (S)”. Confirmar natureza.</w:t>
            </w:r>
          </w:p>
        </w:tc>
      </w:tr>
    </w:tbl>
    <w:p>
      <w:r>
        <w:t>Para transferências entre Cora e NU, o sistema deve gerar duas pontas vinculadas (saída de uma conta e entrada na outra), com efeito líquido zero no resultado. Para cartão, a compra deve carregar a natureza/centro de custo; o pagamento da fatura deve apenas liquidar o passivo do cartão.</w:t>
      </w:r>
    </w:p>
    <w:p>
      <w:pPr>
        <w:pStyle w:val="Heading1"/>
        <w:keepNext/>
        <w:keepLines/>
      </w:pPr>
      <w:r>
        <w:t>9. Sequência recomendada para implantação</w:t>
      </w:r>
    </w:p>
    <w:p>
      <w:r>
        <w:t>1) Importar os cadastros de naturezas, centros de custo e contas financeiras constantes no arquivo BASE_MIGRACAO_FINANCEIRA_2026.xlsx.</w:t>
      </w:r>
    </w:p>
    <w:p>
      <w:r>
        <w:t>2) Revisar a aba Pendencias e corrigir datas ausentes, datas incompatíveis, possíveis duplicidades e movimentos de empréstimos/transferências.</w:t>
      </w:r>
    </w:p>
    <w:p>
      <w:r>
        <w:t>3) Definir a lotação de colaboradores e prestadores atualmente classificados em “Pessoal / a ratear”.</w:t>
      </w:r>
    </w:p>
    <w:p>
      <w:r>
        <w:t>4) Importar a aba Lancamentos_Normalizados como histórico de caixa realizado.</w:t>
      </w:r>
    </w:p>
    <w:p>
      <w:r>
        <w:t>5) Conferir o Resumo_Mensal: a diferença de reconciliação deve permanecer zerada em todos os meses.</w:t>
      </w:r>
    </w:p>
    <w:p>
      <w:r>
        <w:t>6) Levantar, na data de corte, somente os títulos realmente em aberto e cadastrar nos módulos Contas a Pagar e Contas a Receber.</w:t>
      </w:r>
    </w:p>
    <w:p>
      <w:r>
        <w:t>7) Cadastrar contratos de empréstimos com credor, principal, juros, parcelas, vencimentos e saldo devedor; depois vincular as movimentações históricas.</w:t>
      </w:r>
    </w:p>
    <w:p>
      <w:r>
        <w:t>8) A partir da virada do sistema, proibir lançamentos genéricos de “retirada”, “empréstimo (E/S)” ou “cartão” sem contraparte, conta e documento.</w:t>
      </w:r>
    </w:p>
    <w:p>
      <w:pPr>
        <w:pStyle w:val="Heading1"/>
        <w:keepNext/>
        <w:keepLines/>
      </w:pPr>
      <w:r>
        <w:t>10. Conclusão</w:t>
      </w:r>
    </w:p>
    <w:p>
      <w:r>
        <w:t>A planilha é suficiente para reconstruir e reconciliar o fluxo de caixa realizado de janeiro a julho de 2026, mas não é suficiente, sozinha, para reconstruir integralmente o regime de competência e os títulos históricos em aberto. A migração proposta preserva o caixa, retira empréstimos e transferências do resultado operacional e cria uma estrutura consistente para controle futuro de contas a pagar, contas a receber, centros de custo e financiamentos.</w:t>
      </w:r>
    </w:p>
    <w:p>
      <w:r>
        <w:t>O arquivo de migração entregue em conjunto já contém os lançamentos consolidados, classificação sugerida, catálogo de naturezas, centros de custo, contas financeiras, controle de empréstimos/transferências e lista de pendências para saneamento.</w:t>
      </w:r>
    </w:p>
    <w:sectPr w:rsidR="00FC693F" w:rsidRPr="0006063C" w:rsidSect="00034616">
      <w:footerReference w:type="default" r:id="rId9"/>
      <w:pgSz w:w="11906" w:h="16838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Estruturação Financeira – Fluxo de Caixa 2026 | Documento de trabalho para migração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B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6653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6B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