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2e5a"/>
          <w:sz w:val="36"/>
          <w:szCs w:val="36"/>
        </w:rPr>
        <w:t xml:space="preserve">InfoJOB — Chrome Web Store</w:t>
      </w:r>
    </w:p>
    <w:p>
      <w:pPr>
        <w:spacing w:after="400"/>
        <w:jc w:val="center"/>
      </w:pPr>
      <w:r>
        <w:rPr>
          <w:rFonts w:ascii="Arial" w:cs="Arial" w:eastAsia="Arial" w:hAnsi="Arial"/>
          <w:color w:val="555555"/>
          <w:sz w:val="26"/>
          <w:szCs w:val="26"/>
        </w:rPr>
        <w:t xml:space="preserve">Documento de Justificativas de Permissões</w:t>
      </w:r>
    </w:p>
    <w:p>
      <w:pPr>
        <w:pStyle w:val="Heading1"/>
        <w:spacing w:after="200" w:before="400"/>
      </w:pPr>
      <w:r>
        <w:rPr>
          <w:rFonts w:ascii="Arial" w:cs="Arial" w:eastAsia="Arial" w:hAnsi="Arial"/>
          <w:b/>
          <w:bCs/>
          <w:color w:val="1a2e5a"/>
          <w:sz w:val="28"/>
          <w:szCs w:val="28"/>
        </w:rPr>
        <w:t xml:space="preserve">1. Descrição da Extensão</w:t>
      </w:r>
    </w:p>
    <w:p>
      <w:pPr>
        <w:spacing w:after="160"/>
        <w:jc w:val="both"/>
      </w:pPr>
      <w:r>
        <w:rPr>
          <w:rFonts w:ascii="Arial" w:cs="Arial" w:eastAsia="Arial" w:hAnsi="Arial"/>
          <w:sz w:val="22"/>
          <w:szCs w:val="22"/>
        </w:rPr>
        <w:t xml:space="preserve">O InfoJOB é uma extensão de navegador desenvolvida para uso exclusivo por servidores do Poder Judiciário com acesso ao convênio INFOJUD (Informações ao Judiciário), disponibilizado pela Receita Federal do Brasil no portal eCAC (Centro Virtual de Atendimento ao Contribuinte).</w:t>
      </w:r>
    </w:p>
    <w:p>
      <w:pPr>
        <w:spacing w:after="160"/>
        <w:jc w:val="both"/>
      </w:pPr>
      <w:r>
        <w:rPr>
          <w:rFonts w:ascii="Arial" w:cs="Arial" w:eastAsia="Arial" w:hAnsi="Arial"/>
          <w:sz w:val="22"/>
          <w:szCs w:val="22"/>
        </w:rPr>
        <w:t xml:space="preserve">A extensão automatiza o processo de registro de solicitações de consultas fiscais no sistema INFOJUD, permitindo que servidores importem planilhas com múltiplos processos judiciais e realizem o envio em lote, eliminando o preenchimento manual de formulários repetitivos.</w:t>
      </w:r>
    </w:p>
    <w:p>
      <w:pPr>
        <w:spacing w:after="160"/>
        <w:jc w:val="both"/>
      </w:pPr>
      <w:r>
        <w:rPr>
          <w:rFonts w:ascii="Arial" w:cs="Arial" w:eastAsia="Arial" w:hAnsi="Arial"/>
          <w:sz w:val="22"/>
          <w:szCs w:val="22"/>
        </w:rPr>
        <w:t xml:space="preserve">Funcionalidades principais:</w:t>
      </w:r>
    </w:p>
    <w:p>
      <w:pPr>
        <w:pStyle w:val="ListParagraph"/>
        <w:numPr>
          <w:ilvl w:val="0"/>
          <w:numId w:val="2"/>
        </w:numPr>
        <w:spacing w:after="120"/>
      </w:pPr>
      <w:r>
        <w:rPr>
          <w:rFonts w:ascii="Arial" w:cs="Arial" w:eastAsia="Arial" w:hAnsi="Arial"/>
          <w:sz w:val="22"/>
          <w:szCs w:val="22"/>
        </w:rPr>
        <w:t xml:space="preserve">Importação de planilhas .xlsx e .ods com dados de processos judiciais</w:t>
      </w:r>
    </w:p>
    <w:p>
      <w:pPr>
        <w:pStyle w:val="ListParagraph"/>
        <w:numPr>
          <w:ilvl w:val="0"/>
          <w:numId w:val="2"/>
        </w:numPr>
        <w:spacing w:after="120"/>
      </w:pPr>
      <w:r>
        <w:rPr>
          <w:rFonts w:ascii="Arial" w:cs="Arial" w:eastAsia="Arial" w:hAnsi="Arial"/>
          <w:sz w:val="22"/>
          <w:szCs w:val="22"/>
        </w:rPr>
        <w:t xml:space="preserve">Preenchimento automático de formulários no portal eCAC/INFOJUD</w:t>
      </w:r>
    </w:p>
    <w:p>
      <w:pPr>
        <w:pStyle w:val="ListParagraph"/>
        <w:numPr>
          <w:ilvl w:val="0"/>
          <w:numId w:val="2"/>
        </w:numPr>
        <w:spacing w:after="120"/>
      </w:pPr>
      <w:r>
        <w:rPr>
          <w:rFonts w:ascii="Arial" w:cs="Arial" w:eastAsia="Arial" w:hAnsi="Arial"/>
          <w:sz w:val="22"/>
          <w:szCs w:val="22"/>
        </w:rPr>
        <w:t xml:space="preserve">Download e organização automática dos documentos recebidos na Caixa Postal do eCAC</w:t>
      </w:r>
    </w:p>
    <w:p>
      <w:pPr>
        <w:pStyle w:val="ListParagraph"/>
        <w:numPr>
          <w:ilvl w:val="0"/>
          <w:numId w:val="2"/>
        </w:numPr>
        <w:spacing w:after="120"/>
      </w:pPr>
      <w:r>
        <w:rPr>
          <w:rFonts w:ascii="Arial" w:cs="Arial" w:eastAsia="Arial" w:hAnsi="Arial"/>
          <w:sz w:val="22"/>
          <w:szCs w:val="22"/>
        </w:rPr>
        <w:t xml:space="preserve">Geração de PDFs informativos para tipos de consulta que não geram arquivo diretamente</w:t>
      </w:r>
    </w:p>
    <w:p>
      <w:pPr>
        <w:pStyle w:val="ListParagraph"/>
        <w:numPr>
          <w:ilvl w:val="0"/>
          <w:numId w:val="2"/>
        </w:numPr>
        <w:spacing w:after="120"/>
      </w:pPr>
      <w:r>
        <w:rPr>
          <w:rFonts w:ascii="Arial" w:cs="Arial" w:eastAsia="Arial" w:hAnsi="Arial"/>
          <w:sz w:val="22"/>
          <w:szCs w:val="22"/>
        </w:rPr>
        <w:t xml:space="preserve">Guia do usuário integrado acessível pelo botão de ajuda</w:t>
      </w:r>
    </w:p>
    <w:p>
      <w:pPr>
        <w:spacing w:after="200"/>
      </w:pPr>
    </w:p>
    <w:p>
      <w:pPr>
        <w:pStyle w:val="Heading1"/>
        <w:spacing w:after="200" w:before="400"/>
      </w:pPr>
      <w:r>
        <w:rPr>
          <w:rFonts w:ascii="Arial" w:cs="Arial" w:eastAsia="Arial" w:hAnsi="Arial"/>
          <w:b/>
          <w:bCs/>
          <w:color w:val="1a2e5a"/>
          <w:sz w:val="28"/>
          <w:szCs w:val="28"/>
        </w:rPr>
        <w:t xml:space="preserve">2. Público-alvo e Uso</w:t>
      </w:r>
    </w:p>
    <w:p>
      <w:pPr>
        <w:spacing w:after="160"/>
        <w:jc w:val="both"/>
      </w:pPr>
      <w:r>
        <w:rPr>
          <w:rFonts w:ascii="Arial" w:cs="Arial" w:eastAsia="Arial" w:hAnsi="Arial"/>
          <w:sz w:val="22"/>
          <w:szCs w:val="22"/>
        </w:rPr>
        <w:t xml:space="preserve">A extensão destina-se exclusivamente a servidores do Poder Judiciário brasileiro com credenciais válidas de acesso ao portal eCAC, utilizando certificado digital GOV.BR. Não possui qualquer funcionalidade fora do domínio cav.receita.fazenda.gov.br.</w:t>
      </w:r>
    </w:p>
    <w:p>
      <w:pPr>
        <w:spacing w:after="160"/>
        <w:jc w:val="both"/>
      </w:pPr>
      <w:r>
        <w:rPr>
          <w:rFonts w:ascii="Arial" w:cs="Arial" w:eastAsia="Arial" w:hAnsi="Arial"/>
          <w:sz w:val="22"/>
          <w:szCs w:val="22"/>
        </w:rPr>
        <w:t xml:space="preserve">A extensão será disponibilizada como "Não listada" na Chrome Web Store, acessível apenas por link direto distribuído internamente pelo Poder Judiciário.</w:t>
      </w:r>
    </w:p>
    <w:p>
      <w:pPr>
        <w:spacing w:after="200"/>
      </w:pPr>
    </w:p>
    <w:p>
      <w:pPr>
        <w:pStyle w:val="Heading1"/>
        <w:spacing w:after="200" w:before="400"/>
      </w:pPr>
      <w:r>
        <w:rPr>
          <w:rFonts w:ascii="Arial" w:cs="Arial" w:eastAsia="Arial" w:hAnsi="Arial"/>
          <w:b/>
          <w:bCs/>
          <w:color w:val="1a2e5a"/>
          <w:sz w:val="28"/>
          <w:szCs w:val="28"/>
        </w:rPr>
        <w:t xml:space="preserve">3. Justificativa das Permissões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Permissão</w:t>
            </w:r>
          </w:p>
        </w:tc>
        <w:tc>
          <w:tcPr>
            <w:tcW w:type="dxa" w:w="30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Motivo</w:t>
            </w:r>
          </w:p>
        </w:tc>
        <w:tc>
          <w:tcPr>
            <w:tcW w:type="dxa" w:w="3526"/>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Justificativa detalhada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Salvar configurações do usuário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Armazena configurações de vara, tipo de processo, pasta de saída e colunas da planilha entre sessões. Não armazena dados sensíveis das consultas.</w:t>
            </w:r>
          </w:p>
        </w:tc>
      </w:tr>
      <w:tr>
        <w:tc>
          <w:tcPr>
            <w:tcW w:type="dxa" w:w="2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ourier New" w:cs="Courier New" w:eastAsia="Courier New" w:hAnsi="Courier New"/>
                <w:b/>
                <w:bCs/>
                <w:sz w:val="20"/>
                <w:szCs w:val="20"/>
              </w:rPr>
              <w:t xml:space="preserve">tabs</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0"/>
                <w:szCs w:val="20"/>
              </w:rPr>
              <w:t xml:space="preserve">Navegar para a página correta do eCAC</w:t>
            </w:r>
          </w:p>
        </w:tc>
        <w:tc>
          <w:tcPr>
            <w:tcW w:type="dxa" w:w="35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0"/>
                <w:szCs w:val="20"/>
              </w:rPr>
              <w:t xml:space="preserve">Necessário para identificar a aba ativa do eCAC e navegar para a URL de registro de solicitações (solicitacao.asp) ao iniciar a automação.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downloads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Salvar e renomear os PDFs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Utilizado para baixar os documentos recebidos na Caixa Postal do eCAC e renomeá-los automaticamente com o padrão processo_nome_tipo.pdf.</w:t>
            </w:r>
          </w:p>
        </w:tc>
      </w:tr>
      <w:tr>
        <w:tc>
          <w:tcPr>
            <w:tcW w:type="dxa" w:w="2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ourier New" w:cs="Courier New" w:eastAsia="Courier New" w:hAnsi="Courier New"/>
                <w:b/>
                <w:bCs/>
                <w:sz w:val="20"/>
                <w:szCs w:val="20"/>
              </w:rPr>
              <w:t xml:space="preserve">activeTab</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0"/>
                <w:szCs w:val="20"/>
              </w:rPr>
              <w:t xml:space="preserve">Acessar a aba ativa do eCAC</w:t>
            </w:r>
          </w:p>
        </w:tc>
        <w:tc>
          <w:tcPr>
            <w:tcW w:type="dxa" w:w="35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0"/>
                <w:szCs w:val="20"/>
              </w:rPr>
              <w:t xml:space="preserve">Necessário para capturar screenshot da página em casos onde a Receita Federal não disponibiliza download direto (consultas DITR/DIPJ).</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windows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Trazer a aba do eCAC para frente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Utilizado para focar a janela do eCAC ao iniciar a automação, garantindo que o usuário acompanhe o progresso.</w:t>
            </w:r>
          </w:p>
        </w:tc>
      </w:tr>
      <w:tr>
        <w:tc>
          <w:tcPr>
            <w:tcW w:type="dxa" w:w="2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ourier New" w:cs="Courier New" w:eastAsia="Courier New" w:hAnsi="Courier New"/>
                <w:b/>
                <w:bCs/>
                <w:sz w:val="20"/>
                <w:szCs w:val="20"/>
              </w:rPr>
              <w:t xml:space="preserve">webNavigation</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0"/>
                <w:szCs w:val="20"/>
              </w:rPr>
              <w:t xml:space="preserve">Detectar navegação dentro do eCAC</w:t>
            </w:r>
          </w:p>
        </w:tc>
        <w:tc>
          <w:tcPr>
            <w:tcW w:type="dxa" w:w="35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0"/>
                <w:szCs w:val="20"/>
              </w:rPr>
              <w:t xml:space="preserve">Necessário para identificar quando iframes específicos do eCAC carregam (ex: listarDITR.asp, solicitadorPDFMidas.asp) e iniciar o processamento correto de cada tipo de consulta.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declarativeNetRequest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Modificar cabeçalhos de resposta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Utilizado para ajustar o Content-Disposition de alguns recursos do eCAC que retornam PDFs sem o header correto, garantindo o download automático.</w:t>
            </w:r>
          </w:p>
        </w:tc>
      </w:tr>
    </w:tbl>
    <w:p>
      <w:pPr>
        <w:spacing w:after="300"/>
      </w:pPr>
    </w:p>
    <w:p>
      <w:pPr>
        <w:pStyle w:val="Heading1"/>
        <w:spacing w:after="200" w:before="400"/>
      </w:pPr>
      <w:r>
        <w:rPr>
          <w:rFonts w:ascii="Arial" w:cs="Arial" w:eastAsia="Arial" w:hAnsi="Arial"/>
          <w:b/>
          <w:bCs/>
          <w:color w:val="1a2e5a"/>
          <w:sz w:val="28"/>
          <w:szCs w:val="28"/>
        </w:rPr>
        <w:t xml:space="preserve">4. Justificativa das Host Permissions</w:t>
      </w:r>
    </w:p>
    <w:p>
      <w:pPr>
        <w:spacing w:after="160"/>
        <w:jc w:val="both"/>
      </w:pPr>
      <w:r>
        <w:rPr>
          <w:rFonts w:ascii="Arial" w:cs="Arial" w:eastAsia="Arial" w:hAnsi="Arial"/>
          <w:sz w:val="22"/>
          <w:szCs w:val="22"/>
        </w:rPr>
        <w:t xml:space="preserve">A extensão solicita acesso apenas aos domínios estritamente necessários para o funcionamento no portal eCAC:</w:t>
      </w:r>
    </w:p>
    <w:p>
      <w:pPr>
        <w:pStyle w:val="ListParagraph"/>
        <w:numPr>
          <w:ilvl w:val="0"/>
          <w:numId w:val="2"/>
        </w:numPr>
        <w:spacing w:after="120"/>
      </w:pPr>
      <w:r>
        <w:rPr>
          <w:rFonts w:ascii="Arial" w:cs="Arial" w:eastAsia="Arial" w:hAnsi="Arial"/>
          <w:sz w:val="22"/>
          <w:szCs w:val="22"/>
        </w:rPr>
        <w:t xml:space="preserve">https://cav.receita.fazenda.gov.br/* — domínio principal do eCAC onde ocorre toda a interação</w:t>
      </w:r>
    </w:p>
    <w:p>
      <w:pPr>
        <w:pStyle w:val="ListParagraph"/>
        <w:numPr>
          <w:ilvl w:val="0"/>
          <w:numId w:val="2"/>
        </w:numPr>
        <w:spacing w:after="120"/>
      </w:pPr>
      <w:r>
        <w:rPr>
          <w:rFonts w:ascii="Arial" w:cs="Arial" w:eastAsia="Arial" w:hAnsi="Arial"/>
          <w:sz w:val="22"/>
          <w:szCs w:val="22"/>
        </w:rPr>
        <w:t xml:space="preserve">https://www3.cav.receita.fazenda.gov.br/* — subdomínio da Caixa Postal do eCAC</w:t>
      </w:r>
    </w:p>
    <w:p>
      <w:pPr>
        <w:pStyle w:val="ListParagraph"/>
        <w:numPr>
          <w:ilvl w:val="0"/>
          <w:numId w:val="2"/>
        </w:numPr>
        <w:spacing w:after="120"/>
      </w:pPr>
      <w:r>
        <w:rPr>
          <w:rFonts w:ascii="Arial" w:cs="Arial" w:eastAsia="Arial" w:hAnsi="Arial"/>
          <w:sz w:val="22"/>
          <w:szCs w:val="22"/>
        </w:rPr>
        <w:t xml:space="preserve">https://servicos.receita.fazenda.gov.br/* — domínio de serviços auxiliares da Receita Federal (DOI)</w:t>
      </w:r>
    </w:p>
    <w:p>
      <w:pPr>
        <w:spacing w:after="200"/>
      </w:pPr>
    </w:p>
    <w:p>
      <w:pPr>
        <w:spacing w:after="160"/>
        <w:jc w:val="both"/>
      </w:pPr>
      <w:r>
        <w:rPr>
          <w:rFonts w:ascii="Arial" w:cs="Arial" w:eastAsia="Arial" w:hAnsi="Arial"/>
          <w:sz w:val="22"/>
          <w:szCs w:val="22"/>
        </w:rPr>
        <w:t xml:space="preserve">Nenhum dado é transmitido para servidores externos. Toda a automação ocorre localmente entre o navegador do usuário e os servidores da Receita Federal, reproduzindo as ações que seriam realizadas manualmente.</w:t>
      </w:r>
    </w:p>
    <w:p>
      <w:pPr>
        <w:spacing w:after="200"/>
      </w:pPr>
    </w:p>
    <w:p>
      <w:pPr>
        <w:pStyle w:val="Heading1"/>
        <w:spacing w:after="200" w:before="400"/>
      </w:pPr>
      <w:r>
        <w:rPr>
          <w:rFonts w:ascii="Arial" w:cs="Arial" w:eastAsia="Arial" w:hAnsi="Arial"/>
          <w:b/>
          <w:bCs/>
          <w:color w:val="1a2e5a"/>
          <w:sz w:val="28"/>
          <w:szCs w:val="28"/>
        </w:rPr>
        <w:t xml:space="preserve">5. Justificativa do web_accessible_resources</w:t>
      </w:r>
    </w:p>
    <w:p>
      <w:pPr>
        <w:spacing w:after="160"/>
        <w:jc w:val="both"/>
      </w:pPr>
      <w:r>
        <w:rPr>
          <w:rFonts w:ascii="Arial" w:cs="Arial" w:eastAsia="Arial" w:hAnsi="Arial"/>
          <w:sz w:val="22"/>
          <w:szCs w:val="22"/>
        </w:rPr>
        <w:t xml:space="preserve">A entrada com </w:t>
      </w:r>
      <w:r>
        <w:rPr>
          <w:rFonts w:ascii="Courier New" w:cs="Courier New" w:eastAsia="Courier New" w:hAnsi="Courier New"/>
          <w:b/>
          <w:bCs/>
          <w:sz w:val="22"/>
          <w:szCs w:val="22"/>
        </w:rPr>
        <w:t xml:space="preserve">&lt;all_urls&gt;</w:t>
      </w:r>
      <w:r>
        <w:rPr>
          <w:rFonts w:ascii="Arial" w:cs="Arial" w:eastAsia="Arial" w:hAnsi="Arial"/>
          <w:sz w:val="22"/>
          <w:szCs w:val="22"/>
        </w:rPr>
        <w:t xml:space="preserve"> destina-se exclusivamente a dois recursos:</w:t>
      </w:r>
    </w:p>
    <w:p>
      <w:pPr>
        <w:pStyle w:val="ListParagraph"/>
        <w:numPr>
          <w:ilvl w:val="0"/>
          <w:numId w:val="2"/>
        </w:numPr>
        <w:spacing w:after="120"/>
      </w:pPr>
      <w:r>
        <w:rPr>
          <w:rFonts w:ascii="Arial" w:cs="Arial" w:eastAsia="Arial" w:hAnsi="Arial"/>
          <w:sz w:val="22"/>
          <w:szCs w:val="22"/>
        </w:rPr>
        <w:t xml:space="preserve">InfoJOB_Guia_do_Usuario.pdf — guia do usuário aberto pelo botão de ajuda (?) no popup, via chrome.runtime.getURL. Precisa ser acessível a partir do contexto do popup (chrome-extension://).</w:t>
      </w:r>
    </w:p>
    <w:p>
      <w:pPr>
        <w:pStyle w:val="ListParagraph"/>
        <w:numPr>
          <w:ilvl w:val="0"/>
          <w:numId w:val="2"/>
        </w:numPr>
        <w:spacing w:after="120"/>
      </w:pPr>
      <w:r>
        <w:rPr>
          <w:rFonts w:ascii="Arial" w:cs="Arial" w:eastAsia="Arial" w:hAnsi="Arial"/>
          <w:sz w:val="22"/>
          <w:szCs w:val="22"/>
        </w:rPr>
        <w:t xml:space="preserve">upload/* — página de seleção de relatório aberta em nova aba via chrome.tabs.create. Também requer acesso do contexto chrome-extension://.</w:t>
      </w:r>
    </w:p>
    <w:p>
      <w:pPr>
        <w:spacing w:after="160"/>
        <w:jc w:val="both"/>
      </w:pPr>
      <w:r>
        <w:rPr>
          <w:rFonts w:ascii="Arial" w:cs="Arial" w:eastAsia="Arial" w:hAnsi="Arial"/>
          <w:sz w:val="22"/>
          <w:szCs w:val="22"/>
        </w:rPr>
        <w:t xml:space="preserve">Os demais recursos (content scripts, leitores de planilha) estão restritos aos domínios do eCAC. A necessidade do &lt;all_urls&gt; para esses dois recursos é técnica: páginas internas de extensão (chrome-extension://) não se enquadram em nenhum padrão de domínio específico.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5a"/>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1a2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2026-05-12T14:03:47.130Z</dcterms:created>
  <dcterms:modified xsi:type="dcterms:W3CDTF">2026-05-12T14:03:47.130Z</dcterms:modified>
</cp:coreProperties>
</file>

<file path=docProps/custom.xml><?xml version="1.0" encoding="utf-8"?>
<Properties xmlns="http://schemas.openxmlformats.org/officeDocument/2006/custom-properties" xmlns:vt="http://schemas.openxmlformats.org/officeDocument/2006/docPropsVTypes"/>
</file>