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A3A6B"/>
          <w:sz w:val="36"/>
          <w:szCs w:val="36"/>
        </w:rPr>
        <w:t xml:space="preserve">InfoJOB — Chrome Web Store</w:t>
      </w:r>
    </w:p>
    <w:p>
      <w:pPr>
        <w:spacing w:after="80"/>
        <w:jc w:val="center"/>
      </w:pPr>
      <w:r>
        <w:rPr>
          <w:b/>
          <w:bCs/>
          <w:color w:val="444444"/>
          <w:sz w:val="24"/>
          <w:szCs w:val="24"/>
        </w:rPr>
        <w:t xml:space="preserve">Documento de Justificativas de Permissões</w:t>
      </w:r>
    </w:p>
    <w:p>
      <w:pPr>
        <w:spacing w:after="240"/>
        <w:jc w:val="center"/>
      </w:pPr>
      <w:r>
        <w:rPr>
          <w:i/>
          <w:iCs/>
          <w:color w:val="666666"/>
          <w:sz w:val="18"/>
          <w:szCs w:val="18"/>
        </w:rPr>
        <w:t xml:space="preserve">Versão 2.2.4 — julho de 2026</w:t>
      </w:r>
    </w:p>
    <w:p>
      <w:pPr>
        <w:pStyle w:val="Heading1"/>
        <w:shd w:fill="1A3A6B" w:val="clear"/>
        <w:spacing w:after="120" w:before="240"/>
      </w:pPr>
      <w:r>
        <w:rPr>
          <w:b/>
          <w:bCs/>
          <w:color w:val="FFFFFF"/>
          <w:sz w:val="24"/>
          <w:szCs w:val="24"/>
        </w:rPr>
        <w:t xml:space="preserve">1. Descrição da Extensão</w:t>
      </w:r>
    </w:p>
    <w:p>
      <w:pPr>
        <w:spacing w:after="80"/>
      </w:pPr>
      <w:r>
        <w:rPr>
          <w:sz w:val="20"/>
          <w:szCs w:val="20"/>
        </w:rPr>
        <w:t xml:space="preserve">O InfoJOB é uma extensão de navegador desenvolvida para uso exclusivo por servidores do Poder Judiciário com acesso ao convênio INFOJUD (Informações ao Judiciário), disponibilizado pela Receita Federal do Brasil no portal eCAC.</w:t>
      </w:r>
    </w:p>
    <w:p>
      <w:pPr>
        <w:spacing w:after="80"/>
      </w:pPr>
      <w:r>
        <w:rPr>
          <w:sz w:val="20"/>
          <w:szCs w:val="20"/>
        </w:rPr>
        <w:t xml:space="preserve">A extensão automatiza o processo de registro de solicitações de consultas fiscais no sistema INFOJUD. Funcionalidades principais:</w:t>
      </w:r>
    </w:p>
    <w:p>
      <w:pPr>
        <w:pStyle w:val="ListParagraph"/>
        <w:numPr>
          <w:ilvl w:val="0"/>
          <w:numId w:val="2"/>
        </w:numPr>
        <w:spacing w:after="60"/>
      </w:pPr>
      <w:r>
        <w:rPr>
          <w:sz w:val="20"/>
          <w:szCs w:val="20"/>
        </w:rPr>
        <w:t xml:space="preserve">Importação de planilhas .xlsx e .ods com dados de processos judiciais</w:t>
      </w:r>
    </w:p>
    <w:p>
      <w:pPr>
        <w:pStyle w:val="ListParagraph"/>
        <w:numPr>
          <w:ilvl w:val="0"/>
          <w:numId w:val="2"/>
        </w:numPr>
        <w:spacing w:after="60"/>
      </w:pPr>
      <w:r>
        <w:rPr>
          <w:sz w:val="20"/>
          <w:szCs w:val="20"/>
        </w:rPr>
        <w:t xml:space="preserve">Preenchimento automático de formulários no portal eCAC/INFOJUD</w:t>
      </w:r>
    </w:p>
    <w:p>
      <w:pPr>
        <w:pStyle w:val="ListParagraph"/>
        <w:numPr>
          <w:ilvl w:val="0"/>
          <w:numId w:val="2"/>
        </w:numPr>
        <w:spacing w:after="60"/>
      </w:pPr>
      <w:r>
        <w:rPr>
          <w:sz w:val="20"/>
          <w:szCs w:val="20"/>
        </w:rPr>
        <w:t xml:space="preserve">Processamento automático em múltiplos lotes (até 10 pedidos por envio, sem limite de lotes por parte)</w:t>
      </w:r>
    </w:p>
    <w:p>
      <w:pPr>
        <w:pStyle w:val="ListParagraph"/>
        <w:numPr>
          <w:ilvl w:val="0"/>
          <w:numId w:val="2"/>
        </w:numPr>
        <w:spacing w:after="60"/>
      </w:pPr>
      <w:r>
        <w:rPr>
          <w:sz w:val="20"/>
          <w:szCs w:val="20"/>
        </w:rPr>
        <w:t xml:space="preserve">Configuração de até 10 anos por tipo de consulta</w:t>
      </w:r>
    </w:p>
    <w:p>
      <w:pPr>
        <w:pStyle w:val="ListParagraph"/>
        <w:numPr>
          <w:ilvl w:val="0"/>
          <w:numId w:val="2"/>
        </w:numPr>
        <w:spacing w:after="60"/>
      </w:pPr>
      <w:r>
        <w:rPr>
          <w:sz w:val="20"/>
          <w:szCs w:val="20"/>
        </w:rPr>
        <w:t xml:space="preserve">Seleção automática do magistrado solicitante quando há mais de um cadastrado</w:t>
      </w:r>
    </w:p>
    <w:p>
      <w:pPr>
        <w:pStyle w:val="ListParagraph"/>
        <w:numPr>
          <w:ilvl w:val="0"/>
          <w:numId w:val="2"/>
        </w:numPr>
        <w:spacing w:after="60"/>
      </w:pPr>
      <w:r>
        <w:rPr>
          <w:sz w:val="20"/>
          <w:szCs w:val="20"/>
        </w:rPr>
        <w:t xml:space="preserve">Captura automática do nome oficial do contribuinte diretamente do portal eCAC</w:t>
      </w:r>
    </w:p>
    <w:p>
      <w:pPr>
        <w:pStyle w:val="ListParagraph"/>
        <w:numPr>
          <w:ilvl w:val="0"/>
          <w:numId w:val="2"/>
        </w:numPr>
        <w:spacing w:after="60"/>
      </w:pPr>
      <w:r>
        <w:rPr>
          <w:sz w:val="20"/>
          <w:szCs w:val="20"/>
        </w:rPr>
        <w:t xml:space="preserve">Coluna de nomes na planilha opcional</w:t>
      </w:r>
    </w:p>
    <w:p>
      <w:pPr>
        <w:pStyle w:val="ListParagraph"/>
        <w:numPr>
          <w:ilvl w:val="0"/>
          <w:numId w:val="2"/>
        </w:numPr>
        <w:spacing w:after="60"/>
      </w:pPr>
      <w:r>
        <w:rPr>
          <w:sz w:val="20"/>
          <w:szCs w:val="20"/>
        </w:rPr>
        <w:t xml:space="preserve">Download e organização automática dos documentos recebidos na Caixa Postal do eCAC</w:t>
      </w:r>
    </w:p>
    <w:p>
      <w:pPr>
        <w:pStyle w:val="ListParagraph"/>
        <w:numPr>
          <w:ilvl w:val="0"/>
          <w:numId w:val="2"/>
        </w:numPr>
        <w:spacing w:after="60"/>
      </w:pPr>
      <w:r>
        <w:rPr>
          <w:sz w:val="20"/>
          <w:szCs w:val="20"/>
        </w:rPr>
        <w:t xml:space="preserve">Geração de PDFs informativos para tipos de consulta que não geram arquivo diretamente</w:t>
      </w:r>
    </w:p>
    <w:p>
      <w:pPr>
        <w:pStyle w:val="ListParagraph"/>
        <w:numPr>
          <w:ilvl w:val="0"/>
          <w:numId w:val="2"/>
        </w:numPr>
        <w:spacing w:after="60"/>
      </w:pPr>
      <w:r>
        <w:rPr>
          <w:sz w:val="20"/>
          <w:szCs w:val="20"/>
        </w:rPr>
        <w:t xml:space="preserve">Log .txt automático ao concluir envio e coleta, salvo na pasta de saída configurada</w:t>
      </w:r>
    </w:p>
    <w:p>
      <w:pPr>
        <w:pStyle w:val="ListParagraph"/>
        <w:numPr>
          <w:ilvl w:val="0"/>
          <w:numId w:val="2"/>
        </w:numPr>
        <w:spacing w:after="60"/>
      </w:pPr>
      <w:r>
        <w:rPr>
          <w:sz w:val="20"/>
          <w:szCs w:val="20"/>
        </w:rPr>
        <w:t xml:space="preserve">Limpeza automática dos dados temporários de processamento ao concluir cada operação</w:t>
      </w:r>
    </w:p>
    <w:p>
      <w:pPr>
        <w:pStyle w:val="ListParagraph"/>
        <w:numPr>
          <w:ilvl w:val="0"/>
          <w:numId w:val="2"/>
        </w:numPr>
        <w:spacing w:after="60"/>
      </w:pPr>
      <w:r>
        <w:rPr>
          <w:sz w:val="20"/>
          <w:szCs w:val="20"/>
        </w:rPr>
        <w:t xml:space="preserve">Fontes tipográficas embutidas localmente — sem chamadas de rede para servidores de terceiros</w:t>
      </w:r>
    </w:p>
    <w:p>
      <w:pPr>
        <w:pStyle w:val="ListParagraph"/>
        <w:numPr>
          <w:ilvl w:val="0"/>
          <w:numId w:val="2"/>
        </w:numPr>
        <w:spacing w:after="60"/>
      </w:pPr>
      <w:r>
        <w:rPr>
          <w:sz w:val="20"/>
          <w:szCs w:val="20"/>
        </w:rPr>
        <w:t xml:space="preserve">Guia do usuário integrado acessível pelo botão de ajuda</w:t>
      </w:r>
    </w:p>
    <w:p>
      <w:pPr>
        <w:pStyle w:val="Heading1"/>
        <w:shd w:fill="1A3A6B" w:val="clear"/>
        <w:spacing w:after="120" w:before="240"/>
      </w:pPr>
      <w:r>
        <w:rPr>
          <w:b/>
          <w:bCs/>
          <w:color w:val="FFFFFF"/>
          <w:sz w:val="24"/>
          <w:szCs w:val="24"/>
        </w:rPr>
        <w:t xml:space="preserve">2. Público-alvo e Uso</w:t>
      </w:r>
    </w:p>
    <w:p>
      <w:pPr>
        <w:spacing w:after="80"/>
      </w:pPr>
      <w:r>
        <w:rPr>
          <w:sz w:val="20"/>
          <w:szCs w:val="20"/>
        </w:rPr>
        <w:t xml:space="preserve">A extensão destina-se exclusivamente a servidores do Poder Judiciário brasileiro com credenciais válidas de acesso ao portal eCAC, utilizando certificado digital GOV.BR. Não possui qualquer funcionalidade fora do domínio cav.receita.fazenda.gov.br.</w:t>
      </w:r>
    </w:p>
    <w:p>
      <w:pPr>
        <w:spacing w:after="80"/>
      </w:pPr>
      <w:r>
        <w:rPr>
          <w:sz w:val="20"/>
          <w:szCs w:val="20"/>
        </w:rPr>
        <w:t xml:space="preserve">A extensão está publicada como "Não listada" na Chrome Web Store, acessível apenas por link direto distribuído internamente pelo Poder Judiciário. Para implantação corporativa em escala, está disponível script PowerShell de instalação via ExtensionInstallForcelist.</w:t>
      </w:r>
    </w:p>
    <w:p>
      <w:pPr>
        <w:pStyle w:val="Heading1"/>
        <w:shd w:fill="1A3A6B" w:val="clear"/>
        <w:spacing w:after="120" w:before="240"/>
      </w:pPr>
      <w:r>
        <w:rPr>
          <w:b/>
          <w:bCs/>
          <w:color w:val="FFFFFF"/>
          <w:sz w:val="24"/>
          <w:szCs w:val="24"/>
        </w:rPr>
        <w:t xml:space="preserve">3. Justificativa das Permissões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1986"/>
        <w:gridCol w:w="5416"/>
      </w:tblGrid>
      <w:tr>
        <w:trPr>
          <w:tblHeader/>
        </w:trP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b/>
                <w:bCs/>
                <w:color w:val="FFFFFF"/>
                <w:sz w:val="18"/>
                <w:szCs w:val="18"/>
              </w:rPr>
              <w:t xml:space="preserve">Permissão</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b/>
                <w:bCs/>
                <w:color w:val="FFFFFF"/>
                <w:sz w:val="18"/>
                <w:szCs w:val="18"/>
              </w:rPr>
              <w:t xml:space="preserve">Motivo</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b/>
                <w:bCs/>
                <w:color w:val="FFFFFF"/>
                <w:sz w:val="18"/>
                <w:szCs w:val="18"/>
              </w:rPr>
              <w:t xml:space="preserve">Justificativa detalhada</w:t>
            </w:r>
          </w:p>
        </w:tc>
      </w:tr>
      <w:tr>
        <w:trPr>
          <w:tblHeader w:val="false"/>
        </w:trPr>
        <w:tc>
          <w:tcPr>
            <w:tcBorders>
              <w:top w:val="single" w:color="CCCCCC" w:sz="1"/>
              <w:left w:val="single" w:color="CCCCCC" w:sz="1"/>
              <w:bottom w:val="single" w:color="CCCCCC" w:sz="1"/>
              <w:right w:val="single" w:color="CCCCCC" w:sz="1"/>
            </w:tcBorders>
            <w:shd w:fill="DCE8F7" w:val="clear"/>
            <w:tcMar>
              <w:top w:type="dxa" w:w="80"/>
              <w:left w:type="dxa" w:w="120"/>
              <w:bottom w:type="dxa" w:w="80"/>
              <w:right w:type="dxa" w:w="120"/>
            </w:tcMar>
          </w:tcPr>
          <w:p>
            <w:r>
              <w:rPr>
                <w:b w:val="false"/>
                <w:bCs w:val="false"/>
                <w:color w:val="000000"/>
                <w:sz w:val="18"/>
                <w:szCs w:val="18"/>
              </w:rPr>
              <w:t xml:space="preserve">storage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Salvar configurações e estado da automação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Armazena configurações de vara, magistrado, tipo de processo, pasta de saída e colunas da planilha entre sessões. O estado temporário (fila, índice, lote) é removido automaticamente ao concluir cada operação.</w:t>
            </w:r>
          </w:p>
        </w:tc>
      </w:tr>
      <w:tr>
        <w:trPr>
          <w:tblHeader w:val="false"/>
        </w:trPr>
        <w:tc>
          <w:tcPr>
            <w:tcBorders>
              <w:top w:val="single" w:color="CCCCCC" w:sz="1"/>
              <w:left w:val="single" w:color="CCCCCC" w:sz="1"/>
              <w:bottom w:val="single" w:color="CCCCCC" w:sz="1"/>
              <w:right w:val="single" w:color="CCCCCC" w:sz="1"/>
            </w:tcBorders>
            <w:shd w:fill="DCE8F7" w:val="clear"/>
            <w:tcMar>
              <w:top w:type="dxa" w:w="80"/>
              <w:left w:type="dxa" w:w="120"/>
              <w:bottom w:type="dxa" w:w="80"/>
              <w:right w:type="dxa" w:w="120"/>
            </w:tcMar>
          </w:tcPr>
          <w:p>
            <w:r>
              <w:rPr>
                <w:b w:val="false"/>
                <w:bCs w:val="false"/>
                <w:color w:val="000000"/>
                <w:sz w:val="18"/>
                <w:szCs w:val="18"/>
              </w:rPr>
              <w:t xml:space="preserve">tabs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Navegar e comunicar com a aba do eCAC</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Usado para localizar a aba ativa do eCAC (tabs.query), navegar entre páginas (tabs.update), abrir o guia do usuário (tabs.create) e enviar mensagens aos content scripts (tabs.sendMessage). Indispensável para o funcionamento central da extensão.</w:t>
            </w:r>
          </w:p>
        </w:tc>
      </w:tr>
      <w:tr>
        <w:trPr>
          <w:tblHeader w:val="false"/>
        </w:trPr>
        <w:tc>
          <w:tcPr>
            <w:tcBorders>
              <w:top w:val="single" w:color="CCCCCC" w:sz="1"/>
              <w:left w:val="single" w:color="CCCCCC" w:sz="1"/>
              <w:bottom w:val="single" w:color="CCCCCC" w:sz="1"/>
              <w:right w:val="single" w:color="CCCCCC" w:sz="1"/>
            </w:tcBorders>
            <w:shd w:fill="DCE8F7" w:val="clear"/>
            <w:tcMar>
              <w:top w:type="dxa" w:w="80"/>
              <w:left w:type="dxa" w:w="120"/>
              <w:bottom w:type="dxa" w:w="80"/>
              <w:right w:type="dxa" w:w="120"/>
            </w:tcMar>
          </w:tcPr>
          <w:p>
            <w:r>
              <w:rPr>
                <w:b w:val="false"/>
                <w:bCs w:val="false"/>
                <w:color w:val="000000"/>
                <w:sz w:val="18"/>
                <w:szCs w:val="18"/>
              </w:rPr>
              <w:t xml:space="preserve">downloads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Salvar PDFs e logs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Utilizado para baixar os documentos da Caixa Postal do eCAC, renomeá-los automaticamente com o padrão processo_nome_tipo.pdf, e salvar o log .txt de cada operação.</w:t>
            </w:r>
          </w:p>
        </w:tc>
      </w:tr>
      <w:tr>
        <w:trPr>
          <w:tblHeader w:val="false"/>
        </w:trPr>
        <w:tc>
          <w:tcPr>
            <w:tcBorders>
              <w:top w:val="single" w:color="CCCCCC" w:sz="1"/>
              <w:left w:val="single" w:color="CCCCCC" w:sz="1"/>
              <w:bottom w:val="single" w:color="CCCCCC" w:sz="1"/>
              <w:right w:val="single" w:color="CCCCCC" w:sz="1"/>
            </w:tcBorders>
            <w:shd w:fill="DCE8F7" w:val="clear"/>
            <w:tcMar>
              <w:top w:type="dxa" w:w="80"/>
              <w:left w:type="dxa" w:w="120"/>
              <w:bottom w:type="dxa" w:w="80"/>
              <w:right w:type="dxa" w:w="120"/>
            </w:tcMar>
          </w:tcPr>
          <w:p>
            <w:r>
              <w:rPr>
                <w:b w:val="false"/>
                <w:bCs w:val="false"/>
                <w:color w:val="000000"/>
                <w:sz w:val="18"/>
                <w:szCs w:val="18"/>
              </w:rPr>
              <w:t xml:space="preserve">activeTab</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Acessar a aba ativa do eCAC</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Necessário para capturar screenshot da página em casos onde a Receita Federal não disponibiliza download direto (consultas DITR/DIPJ).</w:t>
            </w:r>
          </w:p>
        </w:tc>
      </w:tr>
      <w:tr>
        <w:trPr>
          <w:tblHeader w:val="false"/>
        </w:trPr>
        <w:tc>
          <w:tcPr>
            <w:tcBorders>
              <w:top w:val="single" w:color="CCCCCC" w:sz="1"/>
              <w:left w:val="single" w:color="CCCCCC" w:sz="1"/>
              <w:bottom w:val="single" w:color="CCCCCC" w:sz="1"/>
              <w:right w:val="single" w:color="CCCCCC" w:sz="1"/>
            </w:tcBorders>
            <w:shd w:fill="DCE8F7" w:val="clear"/>
            <w:tcMar>
              <w:top w:type="dxa" w:w="80"/>
              <w:left w:type="dxa" w:w="120"/>
              <w:bottom w:type="dxa" w:w="80"/>
              <w:right w:type="dxa" w:w="120"/>
            </w:tcMar>
          </w:tcPr>
          <w:p>
            <w:r>
              <w:rPr>
                <w:b w:val="false"/>
                <w:bCs w:val="false"/>
                <w:color w:val="000000"/>
                <w:sz w:val="18"/>
                <w:szCs w:val="18"/>
              </w:rPr>
              <w:t xml:space="preserve">webNavigation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Detectar navegação dentro do eCAC</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Necessário para identificar quando iframes específicos do eCAC carregam (ex: listarDITR.asp, solicitadorPDFMidas.asp) e iniciar o processamento correto de cada tipo de consulta.</w:t>
            </w:r>
          </w:p>
        </w:tc>
      </w:tr>
      <w:tr>
        <w:trPr>
          <w:tblHeader w:val="false"/>
        </w:trPr>
        <w:tc>
          <w:tcPr>
            <w:tcBorders>
              <w:top w:val="single" w:color="CCCCCC" w:sz="1"/>
              <w:left w:val="single" w:color="CCCCCC" w:sz="1"/>
              <w:bottom w:val="single" w:color="CCCCCC" w:sz="1"/>
              <w:right w:val="single" w:color="CCCCCC" w:sz="1"/>
            </w:tcBorders>
            <w:shd w:fill="DCE8F7" w:val="clear"/>
            <w:tcMar>
              <w:top w:type="dxa" w:w="80"/>
              <w:left w:type="dxa" w:w="120"/>
              <w:bottom w:type="dxa" w:w="80"/>
              <w:right w:type="dxa" w:w="120"/>
            </w:tcMar>
          </w:tcPr>
          <w:p>
            <w:r>
              <w:rPr>
                <w:b w:val="false"/>
                <w:bCs w:val="false"/>
                <w:color w:val="000000"/>
                <w:sz w:val="18"/>
                <w:szCs w:val="18"/>
              </w:rPr>
              <w:t xml:space="preserve">declarativeNetRequest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Modificar cabeçalhos de resposta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Utilizado para ajustar o Content-Disposition de alguns recursos do eCAC que retornam PDFs sem o header correto, garantindo o download automático.</w:t>
            </w:r>
          </w:p>
        </w:tc>
      </w:tr>
    </w:tbl>
    <w:p>
      <w:pPr>
        <w:spacing w:after="240"/>
      </w:pPr>
    </w:p>
    <w:p>
      <w:pPr>
        <w:pStyle w:val="Heading1"/>
        <w:shd w:fill="1A3A6B" w:val="clear"/>
        <w:spacing w:after="120" w:before="240"/>
      </w:pPr>
      <w:r>
        <w:rPr>
          <w:b/>
          <w:bCs/>
          <w:color w:val="FFFFFF"/>
          <w:sz w:val="24"/>
          <w:szCs w:val="24"/>
        </w:rPr>
        <w:t xml:space="preserve">4. Justificativa das Host Permissions</w:t>
      </w:r>
    </w:p>
    <w:p>
      <w:pPr>
        <w:spacing w:after="80"/>
      </w:pPr>
      <w:r>
        <w:rPr>
          <w:sz w:val="20"/>
          <w:szCs w:val="20"/>
        </w:rPr>
        <w:t xml:space="preserve">A extensão solicita acesso apenas aos domínios estritamente necessários para o funcionamento no portal eCAC:</w:t>
      </w:r>
    </w:p>
    <w:p>
      <w:pPr>
        <w:pStyle w:val="ListParagraph"/>
        <w:numPr>
          <w:ilvl w:val="0"/>
          <w:numId w:val="2"/>
        </w:numPr>
        <w:spacing w:after="60"/>
      </w:pPr>
      <w:r>
        <w:rPr>
          <w:sz w:val="20"/>
          <w:szCs w:val="20"/>
        </w:rPr>
        <w:t xml:space="preserve">https://cav.receita.fazenda.gov.br/* — domínio principal do eCAC onde ocorre toda a interação</w:t>
      </w:r>
    </w:p>
    <w:p>
      <w:pPr>
        <w:pStyle w:val="ListParagraph"/>
        <w:numPr>
          <w:ilvl w:val="0"/>
          <w:numId w:val="2"/>
        </w:numPr>
        <w:spacing w:after="60"/>
      </w:pPr>
      <w:r>
        <w:rPr>
          <w:sz w:val="20"/>
          <w:szCs w:val="20"/>
        </w:rPr>
        <w:t xml:space="preserve">https://www3.cav.receita.fazenda.gov.br/* — subdomínio da Caixa Postal do eCAC</w:t>
      </w:r>
    </w:p>
    <w:p>
      <w:pPr>
        <w:pStyle w:val="ListParagraph"/>
        <w:numPr>
          <w:ilvl w:val="0"/>
          <w:numId w:val="2"/>
        </w:numPr>
        <w:spacing w:after="60"/>
      </w:pPr>
      <w:r>
        <w:rPr>
          <w:sz w:val="20"/>
          <w:szCs w:val="20"/>
        </w:rPr>
        <w:t xml:space="preserve">https://servicos.receita.fazenda.gov.br/* — domínio de serviços auxiliares da Receita Federal (DOI)</w:t>
      </w:r>
    </w:p>
    <w:p>
      <w:pPr>
        <w:spacing w:after="80"/>
      </w:pPr>
      <w:r>
        <w:rPr>
          <w:sz w:val="20"/>
          <w:szCs w:val="20"/>
        </w:rPr>
        <w:t xml:space="preserve">Nenhum dado é transmitido para servidores externos. Toda a automação ocorre localmente entre o navegador do usuário e os servidores da Receita Federal.</w:t>
      </w:r>
    </w:p>
    <w:p>
      <w:pPr>
        <w:pStyle w:val="Heading1"/>
        <w:shd w:fill="1A3A6B" w:val="clear"/>
        <w:spacing w:after="120" w:before="240"/>
      </w:pPr>
      <w:r>
        <w:rPr>
          <w:b/>
          <w:bCs/>
          <w:color w:val="FFFFFF"/>
          <w:sz w:val="24"/>
          <w:szCs w:val="24"/>
        </w:rPr>
        <w:t xml:space="preserve">5. Justificativa do web_accessible_resources</w:t>
      </w:r>
    </w:p>
    <w:p>
      <w:pPr>
        <w:spacing w:after="80"/>
      </w:pPr>
      <w:r>
        <w:rPr>
          <w:sz w:val="20"/>
          <w:szCs w:val="20"/>
        </w:rPr>
        <w:t xml:space="preserve">Os recursos expostos estão restritos exclusivamente aos domínios do eCAC (não há mais uso de &lt;all_urls&gt;):</w:t>
      </w:r>
    </w:p>
    <w:p>
      <w:pPr>
        <w:pStyle w:val="ListParagraph"/>
        <w:numPr>
          <w:ilvl w:val="0"/>
          <w:numId w:val="2"/>
        </w:numPr>
        <w:spacing w:after="60"/>
      </w:pPr>
      <w:r>
        <w:rPr>
          <w:sz w:val="20"/>
          <w:szCs w:val="20"/>
        </w:rPr>
        <w:t xml:space="preserve">fonts/* — fontes tipográficas IBM Plex embutidas localmente, referenciadas via @font-face nos CSS do popup e das configurações.</w:t>
      </w:r>
    </w:p>
    <w:p>
      <w:pPr>
        <w:pStyle w:val="ListParagraph"/>
        <w:numPr>
          <w:ilvl w:val="0"/>
          <w:numId w:val="2"/>
        </w:numPr>
        <w:spacing w:after="60"/>
      </w:pPr>
      <w:r>
        <w:rPr>
          <w:sz w:val="20"/>
          <w:szCs w:val="20"/>
        </w:rPr>
        <w:t xml:space="preserve">InfoJOB_Guia_do_Usuario.pdf — guia do usuário aberto pelo botão de ajuda (?) no popup, via chrome.runtime.getURL.</w:t>
      </w:r>
    </w:p>
    <w:p>
      <w:pPr>
        <w:pStyle w:val="ListParagraph"/>
        <w:numPr>
          <w:ilvl w:val="0"/>
          <w:numId w:val="2"/>
        </w:numPr>
        <w:spacing w:after="60"/>
      </w:pPr>
      <w:r>
        <w:rPr>
          <w:sz w:val="20"/>
          <w:szCs w:val="20"/>
        </w:rPr>
        <w:t xml:space="preserve">upload/* — página de seleção de relatório aberta em nova aba via chrome.tabs.create.</w:t>
      </w:r>
    </w:p>
    <w:p>
      <w:pPr>
        <w:pStyle w:val="ListParagraph"/>
        <w:numPr>
          <w:ilvl w:val="0"/>
          <w:numId w:val="2"/>
        </w:numPr>
        <w:spacing w:after="60"/>
      </w:pPr>
      <w:r>
        <w:rPr>
          <w:sz w:val="20"/>
          <w:szCs w:val="20"/>
        </w:rPr>
        <w:t xml:space="preserve">ajuda/* — página de ajuda da extensão.</w:t>
      </w:r>
    </w:p>
    <w:p>
      <w:pPr>
        <w:pStyle w:val="ListParagraph"/>
        <w:numPr>
          <w:ilvl w:val="0"/>
          <w:numId w:val="2"/>
        </w:numPr>
        <w:spacing w:after="60"/>
      </w:pPr>
      <w:r>
        <w:rPr>
          <w:sz w:val="20"/>
          <w:szCs w:val="20"/>
        </w:rPr>
        <w:t xml:space="preserve">content/* e leitores de planilha — scripts injetados nos domínios do eCAC.</w:t>
      </w:r>
    </w:p>
    <w:p>
      <w:pPr>
        <w:spacing w:after="80"/>
      </w:pPr>
      <w:r>
        <w:rPr>
          <w:sz w:val="20"/>
          <w:szCs w:val="20"/>
        </w:rPr>
        <w:t xml:space="preserve">A restrição aos domínios do eCAC elimina o vetor de fingerprinting e clickjacking por sites externos identificado em auditoria de segurança prévia.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A3A6B" w:val="clear"/>
      <w:spacing w:after="120" w:before="240"/>
      <w:outlineLvl w:val="0"/>
    </w:pPr>
    <w:rPr>
      <w:rFonts w:ascii="Arial" w:cs="Arial" w:eastAsia="Arial" w:hAnsi="Arial"/>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2026-07-14T14:21:08.394Z</dcterms:created>
  <dcterms:modified xsi:type="dcterms:W3CDTF">2026-07-14T14:21:08.415Z</dcterms:modified>
</cp:coreProperties>
</file>

<file path=docProps/custom.xml><?xml version="1.0" encoding="utf-8"?>
<Properties xmlns="http://schemas.openxmlformats.org/officeDocument/2006/custom-properties" xmlns:vt="http://schemas.openxmlformats.org/officeDocument/2006/docPropsVTypes"/>
</file>