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63D4" w14:textId="3E5F901F" w:rsidR="00746B3B" w:rsidRPr="00746B3B" w:rsidRDefault="00746B3B" w:rsidP="00746B3B">
      <w:pPr>
        <w:rPr>
          <w:rFonts w:ascii="Verdana" w:hAnsi="Verdana"/>
          <w:sz w:val="20"/>
          <w:szCs w:val="20"/>
        </w:rPr>
      </w:pPr>
      <w:r w:rsidRPr="00746B3B">
        <w:rPr>
          <w:rFonts w:ascii="Verdana" w:hAnsi="Verdana"/>
          <w:sz w:val="20"/>
          <w:szCs w:val="20"/>
        </w:rPr>
        <w:t xml:space="preserve">Painéis de desempenho do marketplace – </w:t>
      </w:r>
      <w:r w:rsidRPr="00C13D73">
        <w:rPr>
          <w:rFonts w:ascii="Verdana" w:hAnsi="Verdana"/>
          <w:sz w:val="20"/>
          <w:szCs w:val="20"/>
        </w:rPr>
        <w:t xml:space="preserve">Gerenciar o desempenho em marketplaces envolve medir e ajustar métricas críticas constantemente. O MPM Dashboard da </w:t>
      </w:r>
      <w:proofErr w:type="spellStart"/>
      <w:r w:rsidRPr="00C13D73">
        <w:rPr>
          <w:rFonts w:ascii="Verdana" w:hAnsi="Verdana"/>
          <w:sz w:val="20"/>
          <w:szCs w:val="20"/>
        </w:rPr>
        <w:t>McFadyen</w:t>
      </w:r>
      <w:proofErr w:type="spellEnd"/>
      <w:r w:rsidRPr="00C13D73">
        <w:rPr>
          <w:rFonts w:ascii="Verdana" w:hAnsi="Verdana"/>
          <w:sz w:val="20"/>
          <w:szCs w:val="20"/>
        </w:rPr>
        <w:t xml:space="preserve"> Digital oferece mais de 100 KPIs para ajudar empresas a entender dados e agir rapidamente. Isso permite a adaptação em ambientes de </w:t>
      </w:r>
      <w:proofErr w:type="spellStart"/>
      <w:r w:rsidRPr="00C13D73">
        <w:rPr>
          <w:rFonts w:ascii="Verdana" w:hAnsi="Verdana"/>
          <w:sz w:val="20"/>
          <w:szCs w:val="20"/>
        </w:rPr>
        <w:t>eCommerce</w:t>
      </w:r>
      <w:proofErr w:type="spellEnd"/>
      <w:r w:rsidRPr="00C13D73">
        <w:rPr>
          <w:rFonts w:ascii="Verdana" w:hAnsi="Verdana"/>
          <w:sz w:val="20"/>
          <w:szCs w:val="20"/>
        </w:rPr>
        <w:t xml:space="preserve"> multicanal complexos.</w:t>
      </w:r>
    </w:p>
    <w:p w14:paraId="796CCDC5" w14:textId="772CAFB5" w:rsidR="00746B3B" w:rsidRPr="00746B3B" w:rsidRDefault="00746B3B" w:rsidP="00746B3B">
      <w:pPr>
        <w:rPr>
          <w:rFonts w:ascii="Verdana" w:hAnsi="Verdana"/>
          <w:sz w:val="20"/>
          <w:szCs w:val="20"/>
        </w:rPr>
      </w:pPr>
      <w:r w:rsidRPr="00746B3B">
        <w:rPr>
          <w:rFonts w:ascii="Verdana" w:hAnsi="Verdana"/>
          <w:sz w:val="20"/>
          <w:szCs w:val="20"/>
        </w:rPr>
        <w:t xml:space="preserve">Ferramentas de monetização para geração de receita – </w:t>
      </w:r>
      <w:r w:rsidRPr="00C13D73">
        <w:rPr>
          <w:rFonts w:ascii="Verdana" w:hAnsi="Verdana"/>
          <w:sz w:val="20"/>
          <w:szCs w:val="20"/>
        </w:rPr>
        <w:t>Com o avanço da Web 3.0, surgem novas formas de monetizar interações em marketplaces, como assinaturas, taxas e produtos patrocinados. É crucial que a plataforma suporte essas atividades.</w:t>
      </w:r>
    </w:p>
    <w:p w14:paraId="5E1F03CA" w14:textId="196B82C6" w:rsidR="00746B3B" w:rsidRPr="00746B3B" w:rsidRDefault="00746B3B" w:rsidP="00746B3B">
      <w:pPr>
        <w:rPr>
          <w:rFonts w:ascii="Verdana" w:hAnsi="Verdana"/>
          <w:sz w:val="20"/>
          <w:szCs w:val="20"/>
        </w:rPr>
      </w:pPr>
      <w:proofErr w:type="spellStart"/>
      <w:r w:rsidRPr="00746B3B">
        <w:rPr>
          <w:rFonts w:ascii="Verdana" w:hAnsi="Verdana"/>
          <w:sz w:val="20"/>
          <w:szCs w:val="20"/>
        </w:rPr>
        <w:t>Headless</w:t>
      </w:r>
      <w:proofErr w:type="spellEnd"/>
      <w:r w:rsidRPr="00746B3B">
        <w:rPr>
          <w:rFonts w:ascii="Verdana" w:hAnsi="Verdana"/>
          <w:sz w:val="20"/>
          <w:szCs w:val="20"/>
        </w:rPr>
        <w:t xml:space="preserve"> </w:t>
      </w:r>
      <w:proofErr w:type="spellStart"/>
      <w:r w:rsidRPr="00746B3B">
        <w:rPr>
          <w:rFonts w:ascii="Verdana" w:hAnsi="Verdana"/>
          <w:sz w:val="20"/>
          <w:szCs w:val="20"/>
        </w:rPr>
        <w:t>Commerce</w:t>
      </w:r>
      <w:proofErr w:type="spellEnd"/>
      <w:r w:rsidRPr="00746B3B">
        <w:rPr>
          <w:rFonts w:ascii="Verdana" w:hAnsi="Verdana"/>
          <w:sz w:val="20"/>
          <w:szCs w:val="20"/>
        </w:rPr>
        <w:t> </w:t>
      </w:r>
      <w:proofErr w:type="gramStart"/>
      <w:r w:rsidRPr="00746B3B">
        <w:rPr>
          <w:rFonts w:ascii="Verdana" w:hAnsi="Verdana"/>
          <w:sz w:val="20"/>
          <w:szCs w:val="20"/>
        </w:rPr>
        <w:t>–  </w:t>
      </w:r>
      <w:r w:rsidRPr="00C13D73">
        <w:rPr>
          <w:rFonts w:ascii="Verdana" w:hAnsi="Verdana"/>
          <w:sz w:val="20"/>
          <w:szCs w:val="20"/>
        </w:rPr>
        <w:t>Com</w:t>
      </w:r>
      <w:proofErr w:type="gramEnd"/>
      <w:r w:rsidRPr="00C13D73">
        <w:rPr>
          <w:rFonts w:ascii="Verdana" w:hAnsi="Verdana"/>
          <w:sz w:val="20"/>
          <w:szCs w:val="20"/>
        </w:rPr>
        <w:t xml:space="preserve"> o comportamento do consumidor em constante mudança, o </w:t>
      </w:r>
      <w:proofErr w:type="spellStart"/>
      <w:r w:rsidRPr="00C13D73">
        <w:rPr>
          <w:rFonts w:ascii="Verdana" w:hAnsi="Verdana"/>
          <w:sz w:val="20"/>
          <w:szCs w:val="20"/>
        </w:rPr>
        <w:t>headless</w:t>
      </w:r>
      <w:proofErr w:type="spellEnd"/>
      <w:r w:rsidRPr="00C13D73">
        <w:rPr>
          <w:rFonts w:ascii="Verdana" w:hAnsi="Verdana"/>
          <w:sz w:val="20"/>
          <w:szCs w:val="20"/>
        </w:rPr>
        <w:t xml:space="preserve"> </w:t>
      </w:r>
      <w:proofErr w:type="spellStart"/>
      <w:r w:rsidRPr="00C13D73">
        <w:rPr>
          <w:rFonts w:ascii="Verdana" w:hAnsi="Verdana"/>
          <w:sz w:val="20"/>
          <w:szCs w:val="20"/>
        </w:rPr>
        <w:t>commerce</w:t>
      </w:r>
      <w:proofErr w:type="spellEnd"/>
      <w:r w:rsidRPr="00C13D73">
        <w:rPr>
          <w:rFonts w:ascii="Verdana" w:hAnsi="Verdana"/>
          <w:sz w:val="20"/>
          <w:szCs w:val="20"/>
        </w:rPr>
        <w:t xml:space="preserve"> facilita a integração e gestão de múltiplos canais via APIs. Isso permite otimizações rápidas e melhora a experiência do usuário no marketplace.</w:t>
      </w:r>
    </w:p>
    <w:p w14:paraId="1B3F8889" w14:textId="77777777" w:rsidR="00746B3B" w:rsidRPr="00C13D73" w:rsidRDefault="00746B3B" w:rsidP="00746B3B">
      <w:pPr>
        <w:rPr>
          <w:rFonts w:ascii="Verdana" w:hAnsi="Verdana"/>
          <w:sz w:val="20"/>
          <w:szCs w:val="20"/>
        </w:rPr>
      </w:pPr>
      <w:r w:rsidRPr="00746B3B">
        <w:rPr>
          <w:rFonts w:ascii="Verdana" w:hAnsi="Verdana"/>
          <w:sz w:val="20"/>
          <w:szCs w:val="20"/>
        </w:rPr>
        <w:t xml:space="preserve">Inscrição e integração simples – </w:t>
      </w:r>
      <w:r w:rsidRPr="00C13D73">
        <w:rPr>
          <w:rFonts w:ascii="Verdana" w:hAnsi="Verdana"/>
          <w:sz w:val="20"/>
          <w:szCs w:val="20"/>
        </w:rPr>
        <w:t>Para aumentar a integração de vendedores, é essencial ter um processo simples e sem atritos. Isso reduz a desistência e facilita a identificação de fornecedores problemáticos, além de automatizar tarefas administrativas.</w:t>
      </w:r>
    </w:p>
    <w:p w14:paraId="55B6EED0" w14:textId="5F20AD3D" w:rsidR="00746B3B" w:rsidRPr="00746B3B" w:rsidRDefault="00746B3B" w:rsidP="00746B3B">
      <w:pPr>
        <w:rPr>
          <w:rFonts w:ascii="Verdana" w:hAnsi="Verdana"/>
          <w:sz w:val="20"/>
          <w:szCs w:val="20"/>
        </w:rPr>
      </w:pPr>
      <w:r w:rsidRPr="00746B3B">
        <w:rPr>
          <w:rFonts w:ascii="Verdana" w:hAnsi="Verdana"/>
          <w:sz w:val="20"/>
          <w:szCs w:val="20"/>
        </w:rPr>
        <w:t xml:space="preserve">Portal do vendedor fácil de usar – </w:t>
      </w:r>
      <w:r w:rsidRPr="00C13D73">
        <w:rPr>
          <w:rFonts w:ascii="Verdana" w:hAnsi="Verdana"/>
          <w:sz w:val="20"/>
          <w:szCs w:val="20"/>
        </w:rPr>
        <w:t>Após a integração, a plataforma deve simplificar a criação de catálogos, gestão de pedidos e listagem de produtos. Um portal eficiente inclui um OMS robusto e páginas de produtos detalhadas com vídeos, descrições e perguntas de clientes.</w:t>
      </w:r>
    </w:p>
    <w:p w14:paraId="0D22BCCA" w14:textId="77777777" w:rsidR="00746B3B" w:rsidRPr="00C13D73" w:rsidRDefault="00746B3B" w:rsidP="00746B3B">
      <w:pPr>
        <w:rPr>
          <w:rFonts w:ascii="Verdana" w:hAnsi="Verdana"/>
          <w:sz w:val="20"/>
          <w:szCs w:val="20"/>
        </w:rPr>
      </w:pPr>
      <w:r w:rsidRPr="00746B3B">
        <w:rPr>
          <w:rFonts w:ascii="Verdana" w:hAnsi="Verdana"/>
          <w:sz w:val="20"/>
          <w:szCs w:val="20"/>
        </w:rPr>
        <w:t xml:space="preserve">Ferramentas de comunicação do comprador – </w:t>
      </w:r>
      <w:r w:rsidRPr="00C13D73">
        <w:rPr>
          <w:rFonts w:ascii="Verdana" w:hAnsi="Verdana"/>
          <w:sz w:val="20"/>
          <w:szCs w:val="20"/>
        </w:rPr>
        <w:t>A principal função de um marketplace é conectar compradores e vendedores, promovendo confiança mútua. A plataforma deve facilitar a comunicação, avaliações e solução de problemas, enquanto evita transações fora da plataforma.</w:t>
      </w:r>
    </w:p>
    <w:p w14:paraId="2A71745D" w14:textId="6F9948C0" w:rsidR="00746B3B" w:rsidRPr="00746B3B" w:rsidRDefault="00746B3B" w:rsidP="00746B3B">
      <w:pPr>
        <w:rPr>
          <w:rFonts w:ascii="Verdana" w:hAnsi="Verdana"/>
          <w:sz w:val="20"/>
          <w:szCs w:val="20"/>
        </w:rPr>
      </w:pPr>
      <w:r w:rsidRPr="00746B3B">
        <w:rPr>
          <w:rFonts w:ascii="Verdana" w:hAnsi="Verdana"/>
          <w:sz w:val="20"/>
          <w:szCs w:val="20"/>
        </w:rPr>
        <w:t xml:space="preserve">Opções poderosas de pesquisa e navegação – </w:t>
      </w:r>
      <w:r w:rsidR="00E73774" w:rsidRPr="00C13D73">
        <w:rPr>
          <w:rFonts w:ascii="Verdana" w:hAnsi="Verdana"/>
          <w:sz w:val="20"/>
          <w:szCs w:val="20"/>
        </w:rPr>
        <w:t xml:space="preserve">Os marketplaces de múltiplos fornecedores se destacam pela variedade de produtos, mas essa vantagem depende de uma navegação simplificada e opções de pesquisa avançada. A pesquisa inteligente aumenta significativamente a taxa de conversão, como demonstrado por dados da </w:t>
      </w:r>
      <w:proofErr w:type="spellStart"/>
      <w:r w:rsidR="00E73774" w:rsidRPr="00C13D73">
        <w:rPr>
          <w:rFonts w:ascii="Verdana" w:hAnsi="Verdana"/>
          <w:sz w:val="20"/>
          <w:szCs w:val="20"/>
        </w:rPr>
        <w:t>Amazon</w:t>
      </w:r>
      <w:proofErr w:type="spellEnd"/>
      <w:r w:rsidR="00E73774" w:rsidRPr="00C13D73">
        <w:rPr>
          <w:rFonts w:ascii="Verdana" w:hAnsi="Verdana"/>
          <w:sz w:val="20"/>
          <w:szCs w:val="20"/>
        </w:rPr>
        <w:t xml:space="preserve"> e Walmart.</w:t>
      </w:r>
    </w:p>
    <w:p w14:paraId="5D89D618" w14:textId="5256B550" w:rsidR="00746B3B" w:rsidRPr="00746B3B" w:rsidRDefault="00746B3B" w:rsidP="00746B3B">
      <w:pPr>
        <w:rPr>
          <w:rFonts w:ascii="Verdana" w:hAnsi="Verdana"/>
          <w:sz w:val="20"/>
          <w:szCs w:val="20"/>
        </w:rPr>
      </w:pPr>
      <w:r w:rsidRPr="00746B3B">
        <w:rPr>
          <w:rFonts w:ascii="Verdana" w:hAnsi="Verdana"/>
          <w:sz w:val="20"/>
          <w:szCs w:val="20"/>
        </w:rPr>
        <w:t xml:space="preserve">Fluxo de Checkout Rápido e Suave – </w:t>
      </w:r>
      <w:r w:rsidR="00E73774" w:rsidRPr="00C13D73">
        <w:rPr>
          <w:rFonts w:ascii="Verdana" w:hAnsi="Verdana"/>
          <w:sz w:val="20"/>
          <w:szCs w:val="20"/>
        </w:rPr>
        <w:t>A fluidez do fluxo de checkout é crucial para a taxa de conversão em marketplaces, proporcionando uma experiência de compra sem atritos. Recursos como barras de progresso, transparência sobre custos e opções de checkout de convidados são fundamentais para facilitar o processo.</w:t>
      </w:r>
    </w:p>
    <w:p w14:paraId="0BE74D69" w14:textId="66A3BFF0" w:rsidR="00746B3B" w:rsidRPr="00746B3B" w:rsidRDefault="00746B3B" w:rsidP="00746B3B">
      <w:pPr>
        <w:rPr>
          <w:rFonts w:ascii="Verdana" w:hAnsi="Verdana"/>
          <w:sz w:val="20"/>
          <w:szCs w:val="20"/>
        </w:rPr>
      </w:pPr>
      <w:r w:rsidRPr="00746B3B">
        <w:rPr>
          <w:rFonts w:ascii="Verdana" w:hAnsi="Verdana"/>
          <w:sz w:val="20"/>
          <w:szCs w:val="20"/>
        </w:rPr>
        <w:t xml:space="preserve">Classificações e Revisões – </w:t>
      </w:r>
      <w:r w:rsidR="00E73774" w:rsidRPr="00C13D73">
        <w:rPr>
          <w:rFonts w:ascii="Verdana" w:hAnsi="Verdana"/>
          <w:sz w:val="20"/>
          <w:szCs w:val="20"/>
        </w:rPr>
        <w:t>Construir a confiança do comprador é essencial para o sucesso de um marketplace, com 70% dos clientes lendo avaliações antes de fazer um pedido. A plataforma deve ter uma funcionalidade de avaliação robusta, permitindo apenas comentários de usuários verificados, o que também gera conteúdo positivo e melhora a classificação nos mecanismos de pesquisa.</w:t>
      </w:r>
    </w:p>
    <w:p w14:paraId="43915DD5" w14:textId="1C4F94E1" w:rsidR="00746B3B" w:rsidRPr="00746B3B" w:rsidRDefault="00746B3B" w:rsidP="00746B3B">
      <w:pPr>
        <w:rPr>
          <w:rFonts w:ascii="Verdana" w:hAnsi="Verdana"/>
          <w:sz w:val="20"/>
          <w:szCs w:val="20"/>
        </w:rPr>
      </w:pPr>
      <w:r w:rsidRPr="00746B3B">
        <w:rPr>
          <w:rFonts w:ascii="Verdana" w:hAnsi="Verdana"/>
          <w:sz w:val="20"/>
          <w:szCs w:val="20"/>
        </w:rPr>
        <w:t xml:space="preserve">Recurso de lista de desejos – </w:t>
      </w:r>
      <w:r w:rsidR="00E73774" w:rsidRPr="00C13D73">
        <w:rPr>
          <w:rFonts w:ascii="Verdana" w:hAnsi="Verdana"/>
          <w:sz w:val="20"/>
          <w:szCs w:val="20"/>
        </w:rPr>
        <w:t xml:space="preserve">As listas de desejos, que permitem aos compradores </w:t>
      </w:r>
      <w:proofErr w:type="gramStart"/>
      <w:r w:rsidR="00E73774" w:rsidRPr="00C13D73">
        <w:rPr>
          <w:rFonts w:ascii="Verdana" w:hAnsi="Verdana"/>
          <w:sz w:val="20"/>
          <w:szCs w:val="20"/>
        </w:rPr>
        <w:t>salvar</w:t>
      </w:r>
      <w:proofErr w:type="gramEnd"/>
      <w:r w:rsidR="00E73774" w:rsidRPr="00C13D73">
        <w:rPr>
          <w:rFonts w:ascii="Verdana" w:hAnsi="Verdana"/>
          <w:sz w:val="20"/>
          <w:szCs w:val="20"/>
        </w:rPr>
        <w:t xml:space="preserve"> produtos de interesse para referência futura, são populares e ajudam operadores de marketplaces a entender as preferências dos clientes.</w:t>
      </w:r>
    </w:p>
    <w:p w14:paraId="33D4186D" w14:textId="6E03DFFA" w:rsidR="00AB2CED" w:rsidRPr="00C13D73" w:rsidRDefault="00746B3B" w:rsidP="00746B3B">
      <w:pPr>
        <w:rPr>
          <w:rFonts w:ascii="Verdana" w:hAnsi="Verdana"/>
          <w:sz w:val="20"/>
          <w:szCs w:val="20"/>
        </w:rPr>
      </w:pPr>
      <w:r w:rsidRPr="00746B3B">
        <w:rPr>
          <w:rFonts w:ascii="Verdana" w:hAnsi="Verdana"/>
          <w:sz w:val="20"/>
          <w:szCs w:val="20"/>
        </w:rPr>
        <w:t xml:space="preserve">Pesquisa por voz – </w:t>
      </w:r>
      <w:r w:rsidR="00E73774" w:rsidRPr="00C13D73">
        <w:rPr>
          <w:rFonts w:ascii="Verdana" w:hAnsi="Verdana"/>
          <w:sz w:val="20"/>
          <w:szCs w:val="20"/>
        </w:rPr>
        <w:t>A pesquisa por voz, que representa mais de 50% das buscas online, está transformando a forma como os consumidores encontram produtos, melhorando a satisfação do cliente e a taxa de conversão nos marketplaces.</w:t>
      </w:r>
    </w:p>
    <w:sectPr w:rsidR="00AB2CED" w:rsidRPr="00C13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C8"/>
    <w:rsid w:val="000263C8"/>
    <w:rsid w:val="00202C3D"/>
    <w:rsid w:val="00746B3B"/>
    <w:rsid w:val="00AB2CED"/>
    <w:rsid w:val="00C13D73"/>
    <w:rsid w:val="00E7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97DC"/>
  <w15:chartTrackingRefBased/>
  <w15:docId w15:val="{4E07AB6C-30D0-4872-B09B-EE08698C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6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6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6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6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6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63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63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63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63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63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63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6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6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63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63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63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6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63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63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263C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6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7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 Rocha</dc:creator>
  <cp:keywords/>
  <dc:description/>
  <cp:lastModifiedBy>Rodrigo Silva Rocha</cp:lastModifiedBy>
  <cp:revision>2</cp:revision>
  <dcterms:created xsi:type="dcterms:W3CDTF">2024-10-04T00:33:00Z</dcterms:created>
  <dcterms:modified xsi:type="dcterms:W3CDTF">2024-10-04T01:03:00Z</dcterms:modified>
</cp:coreProperties>
</file>