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/>
      </w:pPr>
    </w:p>
    <w:p>
      <w:pPr>
        <w:spacing w:after="200"/>
        <w:jc w:val="center"/>
      </w:pPr>
      <w:r>
        <w:rPr>
          <w:b/>
          <w:bCs/>
          <w:sz w:val="44"/>
          <w:szCs w:val="44"/>
        </w:rPr>
        <w:t xml:space="preserve">INFORME TÉCNICO</w:t>
      </w:r>
    </w:p>
    <w:p>
      <w:pPr>
        <w:spacing w:after="100"/>
        <w:jc w:val="center"/>
      </w:pPr>
      <w:r>
        <w:rPr>
          <w:b/>
          <w:bCs/>
          <w:color w:val="2F5496"/>
          <w:sz w:val="32"/>
          <w:szCs w:val="32"/>
        </w:rPr>
        <w:t xml:space="preserve">Caso 3: Diabetes (Scikit-learn)</w:t>
      </w:r>
    </w:p>
    <w:p>
      <w:pPr>
        <w:spacing w:after="600"/>
        <w:jc w:val="center"/>
      </w:pPr>
      <w:r>
        <w:rPr>
          <w:i/>
          <w:iCs/>
          <w:sz w:val="24"/>
          <w:szCs w:val="24"/>
        </w:rPr>
        <w:t xml:space="preserve">Regresión Lineal Múltiple y Regresión Polinomial</w:t>
      </w:r>
    </w:p>
    <w:p>
      <w:pPr>
        <w:jc w:val="center"/>
      </w:pPr>
      <w:r>
        <w:rPr>
          <w:sz w:val="22"/>
          <w:szCs w:val="22"/>
        </w:rPr>
        <w:t xml:space="preserve">Asignatura: Inteligencia Artificial / Aprendizaje Automático</w:t>
      </w:r>
    </w:p>
    <w:p>
      <w:pPr>
        <w:spacing w:after="800"/>
        <w:jc w:val="center"/>
      </w:pPr>
      <w:r>
        <w:rPr>
          <w:sz w:val="22"/>
          <w:szCs w:val="22"/>
        </w:rPr>
        <w:t xml:space="preserve">Semestre: 2026-II</w:t>
      </w:r>
    </w:p>
    <w:p>
      <w:pPr>
        <w:jc w:val="center"/>
      </w:pPr>
      <w:r>
        <w:rPr>
          <w:sz w:val="22"/>
          <w:szCs w:val="22"/>
        </w:rPr>
        <w:t xml:space="preserve">Integrante responsable del caso: Andia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Introducción y Objetivo</w:t>
      </w:r>
    </w:p>
    <w:p>
      <w:pPr>
        <w:spacing w:after="120"/>
      </w:pPr>
      <w:r>
        <w:t xml:space="preserve">Este informe documenta el desarrollo del Caso 3 del Taller 1: predicción de la progresión cuantitativa de la diabetes un año después del diagnóstico inicial, usando el dataset Diabetes de Scikit-learn. Se aplican los procesos de análisis exploratorio, preprocesamiento, y modelado mediante Regresión Lineal Múltiple y Regresión Polinomial, conforme a la matriz de casos de estudio del taller.</w:t>
      </w:r>
    </w:p>
    <w:p>
      <w:pPr>
        <w:pStyle w:val="Heading1"/>
        <w:spacing w:after="150" w:before="300"/>
      </w:pPr>
      <w:r>
        <w:t xml:space="preserve">2. Descripción del Dataset</w:t>
      </w:r>
    </w:p>
    <w:p>
      <w:pPr>
        <w:spacing w:after="120"/>
      </w:pPr>
      <w:r>
        <w:t xml:space="preserve">El dataset contiene 442 observaciones y 10 variables predictoras (edad, sexo, IMC, presión arterial y 6 mediciones sanguíneas s1-s6), más la variable objetivo (target), que mide la progresión de la enfermedad.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Valores nulos detectados: 0 (ninguno)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Filas duplicadas: 0</w:t>
      </w:r>
    </w:p>
    <w:p>
      <w:pPr>
        <w:spacing w:after="120"/>
      </w:pPr>
      <w:r>
        <w:t xml:space="preserve">Nota: las variables predictoras del dataset ya vienen centradas y escaladas por defecto (media ≈ 0), por lo que la limpieza de nulos no fue necesaria; el preprocesamiento se centró en el escalamiento adicional previo al modelado y el análisis de outliers/multicolinealidad.</w:t>
      </w:r>
    </w:p>
    <w:p>
      <w:pPr>
        <w:pStyle w:val="Heading1"/>
        <w:spacing w:after="150" w:before="300"/>
      </w:pPr>
      <w:r>
        <w:t xml:space="preserve">3. Fase A: Análisis Exploratorio y Preprocesamiento</w:t>
      </w:r>
    </w:p>
    <w:p>
      <w:pPr>
        <w:pStyle w:val="Heading2"/>
        <w:spacing w:after="100" w:before="200"/>
      </w:pPr>
      <w:r>
        <w:t xml:space="preserve">3.1 Detección de Outliers (método IQR)</w:t>
      </w:r>
    </w:p>
    <w:p>
      <w:pPr>
        <w:spacing w:after="120"/>
      </w:pPr>
      <w:r>
        <w:t xml:space="preserve">Se aplicó el método del rango intercuartílico (IQR) para identificar valores atípicos en cada variable predictora: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Variable</w:t>
            </w:r>
          </w:p>
        </w:tc>
        <w:tc>
          <w:tcPr>
            <w:tcW w:type="dxa" w:w="45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N° Outliers (IQR)</w:t>
            </w:r>
          </w:p>
        </w:tc>
      </w:tr>
      <w:tr>
        <w:tc>
          <w:tcPr>
            <w:tcW w:type="dxa" w:w="4500"/>
          </w:tcPr>
          <w:p>
            <w:r>
              <w:t xml:space="preserve">age</w:t>
            </w:r>
          </w:p>
        </w:tc>
        <w:tc>
          <w:tcPr>
            <w:tcW w:type="dxa" w:w="4500"/>
          </w:tcPr>
          <w:p>
            <w:r>
              <w:t xml:space="preserve">0</w:t>
            </w:r>
          </w:p>
        </w:tc>
      </w:tr>
      <w:tr>
        <w:tc>
          <w:tcPr>
            <w:tcW w:type="dxa" w:w="4500"/>
          </w:tcPr>
          <w:p>
            <w:r>
              <w:t xml:space="preserve">sex</w:t>
            </w:r>
          </w:p>
        </w:tc>
        <w:tc>
          <w:tcPr>
            <w:tcW w:type="dxa" w:w="4500"/>
          </w:tcPr>
          <w:p>
            <w:r>
              <w:t xml:space="preserve">0</w:t>
            </w:r>
          </w:p>
        </w:tc>
      </w:tr>
      <w:tr>
        <w:tc>
          <w:tcPr>
            <w:tcW w:type="dxa" w:w="4500"/>
          </w:tcPr>
          <w:p>
            <w:r>
              <w:t xml:space="preserve">bmi</w:t>
            </w:r>
          </w:p>
        </w:tc>
        <w:tc>
          <w:tcPr>
            <w:tcW w:type="dxa" w:w="4500"/>
          </w:tcPr>
          <w:p>
            <w: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t xml:space="preserve">bp</w:t>
            </w:r>
          </w:p>
        </w:tc>
        <w:tc>
          <w:tcPr>
            <w:tcW w:type="dxa" w:w="4500"/>
          </w:tcPr>
          <w:p>
            <w:r>
              <w:t xml:space="preserve">0</w:t>
            </w:r>
          </w:p>
        </w:tc>
      </w:tr>
      <w:tr>
        <w:tc>
          <w:tcPr>
            <w:tcW w:type="dxa" w:w="4500"/>
          </w:tcPr>
          <w:p>
            <w:r>
              <w:t xml:space="preserve">s1</w:t>
            </w:r>
          </w:p>
        </w:tc>
        <w:tc>
          <w:tcPr>
            <w:tcW w:type="dxa" w:w="4500"/>
          </w:tcPr>
          <w:p>
            <w:r>
              <w:t xml:space="preserve">8</w:t>
            </w:r>
          </w:p>
        </w:tc>
      </w:tr>
      <w:tr>
        <w:tc>
          <w:tcPr>
            <w:tcW w:type="dxa" w:w="4500"/>
          </w:tcPr>
          <w:p>
            <w:r>
              <w:t xml:space="preserve">s2</w:t>
            </w:r>
          </w:p>
        </w:tc>
        <w:tc>
          <w:tcPr>
            <w:tcW w:type="dxa" w:w="4500"/>
          </w:tcPr>
          <w:p>
            <w:r>
              <w:t xml:space="preserve">7</w:t>
            </w:r>
          </w:p>
        </w:tc>
      </w:tr>
      <w:tr>
        <w:tc>
          <w:tcPr>
            <w:tcW w:type="dxa" w:w="4500"/>
          </w:tcPr>
          <w:p>
            <w:r>
              <w:t xml:space="preserve">s3</w:t>
            </w:r>
          </w:p>
        </w:tc>
        <w:tc>
          <w:tcPr>
            <w:tcW w:type="dxa" w:w="4500"/>
          </w:tcPr>
          <w:p>
            <w:r>
              <w:t xml:space="preserve">7</w:t>
            </w:r>
          </w:p>
        </w:tc>
      </w:tr>
      <w:tr>
        <w:tc>
          <w:tcPr>
            <w:tcW w:type="dxa" w:w="4500"/>
          </w:tcPr>
          <w:p>
            <w:r>
              <w:t xml:space="preserve">s4</w:t>
            </w:r>
          </w:p>
        </w:tc>
        <w:tc>
          <w:tcPr>
            <w:tcW w:type="dxa" w:w="4500"/>
          </w:tcPr>
          <w:p>
            <w: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t xml:space="preserve">s5</w:t>
            </w:r>
          </w:p>
        </w:tc>
        <w:tc>
          <w:tcPr>
            <w:tcW w:type="dxa" w:w="4500"/>
          </w:tcPr>
          <w:p>
            <w:r>
              <w:t xml:space="preserve">4</w:t>
            </w:r>
          </w:p>
        </w:tc>
      </w:tr>
      <w:tr>
        <w:tc>
          <w:tcPr>
            <w:tcW w:type="dxa" w:w="4500"/>
          </w:tcPr>
          <w:p>
            <w:r>
              <w:t xml:space="preserve">s6</w:t>
            </w:r>
          </w:p>
        </w:tc>
        <w:tc>
          <w:tcPr>
            <w:tcW w:type="dxa" w:w="4500"/>
          </w:tcPr>
          <w:p>
            <w:r>
              <w:t xml:space="preserve">9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Las variables s1, s2, s3 y s6 concentran el mayor número de outliers, aunque en proporción baja respecto al total (442 registros), por lo que no se eliminaron registros para no perder información clínica relevante.</w:t>
      </w:r>
    </w:p>
    <w:p>
      <w:pPr>
        <w:pStyle w:val="Heading2"/>
        <w:spacing w:after="100" w:before="200"/>
      </w:pPr>
      <w:r>
        <w:t xml:space="preserve">3.2 Matriz de Correlación</w:t>
      </w:r>
    </w:p>
    <w:p>
      <w:pPr>
        <w:spacing w:after="120"/>
      </w:pPr>
      <w:r>
        <w:t xml:space="preserve">La correlación entre variables predictoras y la variable objetivo (target) se muestra a continuación. Las variables con mayor correlación con target son bmi (0.59), s5 (0.57) y bp (0.44).</w:t>
      </w:r>
    </w:p>
    <w:p>
      <w:pPr>
        <w:spacing w:after="200"/>
        <w:jc w:val="center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t xml:space="preserve">3.3 Multicolinealidad (VIF)</w:t>
      </w:r>
    </w:p>
    <w:p>
      <w:pPr>
        <w:spacing w:after="120"/>
      </w:pPr>
      <w:r>
        <w:t xml:space="preserve">El Factor de Inflación de la Varianza (VIF) evidencia una fuerte colinealidad entre s1 y s2 (VIF &gt; 39), lo cual es consistente con su correlación de 0.90 observada en el mapa de calor. Esto sugiere que ambas variables aportan información redundante al modelo.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Variable</w:t>
            </w:r>
          </w:p>
        </w:tc>
        <w:tc>
          <w:tcPr>
            <w:tcW w:type="dxa" w:w="45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VIF</w:t>
            </w:r>
          </w:p>
        </w:tc>
      </w:tr>
      <w:tr>
        <w:tc>
          <w:tcPr>
            <w:tcW w:type="dxa" w:w="4500"/>
          </w:tcPr>
          <w:p>
            <w:r>
              <w:t xml:space="preserve">age</w:t>
            </w:r>
          </w:p>
        </w:tc>
        <w:tc>
          <w:tcPr>
            <w:tcW w:type="dxa" w:w="4500"/>
          </w:tcPr>
          <w:p>
            <w:r>
              <w:t xml:space="preserve">1.22</w:t>
            </w:r>
          </w:p>
        </w:tc>
      </w:tr>
      <w:tr>
        <w:tc>
          <w:tcPr>
            <w:tcW w:type="dxa" w:w="4500"/>
          </w:tcPr>
          <w:p>
            <w:r>
              <w:t xml:space="preserve">sex</w:t>
            </w:r>
          </w:p>
        </w:tc>
        <w:tc>
          <w:tcPr>
            <w:tcW w:type="dxa" w:w="4500"/>
          </w:tcPr>
          <w:p>
            <w:r>
              <w:t xml:space="preserve">1.28</w:t>
            </w:r>
          </w:p>
        </w:tc>
      </w:tr>
      <w:tr>
        <w:tc>
          <w:tcPr>
            <w:tcW w:type="dxa" w:w="4500"/>
          </w:tcPr>
          <w:p>
            <w:r>
              <w:t xml:space="preserve">bmi</w:t>
            </w:r>
          </w:p>
        </w:tc>
        <w:tc>
          <w:tcPr>
            <w:tcW w:type="dxa" w:w="4500"/>
          </w:tcPr>
          <w:p>
            <w:r>
              <w:t xml:space="preserve">1.51</w:t>
            </w:r>
          </w:p>
        </w:tc>
      </w:tr>
      <w:tr>
        <w:tc>
          <w:tcPr>
            <w:tcW w:type="dxa" w:w="4500"/>
          </w:tcPr>
          <w:p>
            <w:r>
              <w:t xml:space="preserve">bp</w:t>
            </w:r>
          </w:p>
        </w:tc>
        <w:tc>
          <w:tcPr>
            <w:tcW w:type="dxa" w:w="4500"/>
          </w:tcPr>
          <w:p>
            <w:r>
              <w:t xml:space="preserve">1.46</w:t>
            </w:r>
          </w:p>
        </w:tc>
      </w:tr>
      <w:tr>
        <w:tc>
          <w:tcPr>
            <w:tcW w:type="dxa" w:w="4500"/>
          </w:tcPr>
          <w:p>
            <w:r>
              <w:t xml:space="preserve">s1</w:t>
            </w:r>
          </w:p>
        </w:tc>
        <w:tc>
          <w:tcPr>
            <w:tcW w:type="dxa" w:w="4500"/>
          </w:tcPr>
          <w:p>
            <w:r>
              <w:t xml:space="preserve">59.20</w:t>
            </w:r>
          </w:p>
        </w:tc>
      </w:tr>
      <w:tr>
        <w:tc>
          <w:tcPr>
            <w:tcW w:type="dxa" w:w="4500"/>
          </w:tcPr>
          <w:p>
            <w:r>
              <w:t xml:space="preserve">s2</w:t>
            </w:r>
          </w:p>
        </w:tc>
        <w:tc>
          <w:tcPr>
            <w:tcW w:type="dxa" w:w="4500"/>
          </w:tcPr>
          <w:p>
            <w:r>
              <w:t xml:space="preserve">39.19</w:t>
            </w:r>
          </w:p>
        </w:tc>
      </w:tr>
      <w:tr>
        <w:tc>
          <w:tcPr>
            <w:tcW w:type="dxa" w:w="4500"/>
          </w:tcPr>
          <w:p>
            <w:r>
              <w:t xml:space="preserve">s3</w:t>
            </w:r>
          </w:p>
        </w:tc>
        <w:tc>
          <w:tcPr>
            <w:tcW w:type="dxa" w:w="4500"/>
          </w:tcPr>
          <w:p>
            <w:r>
              <w:t xml:space="preserve">15.40</w:t>
            </w:r>
          </w:p>
        </w:tc>
      </w:tr>
      <w:tr>
        <w:tc>
          <w:tcPr>
            <w:tcW w:type="dxa" w:w="4500"/>
          </w:tcPr>
          <w:p>
            <w:r>
              <w:t xml:space="preserve">s4</w:t>
            </w:r>
          </w:p>
        </w:tc>
        <w:tc>
          <w:tcPr>
            <w:tcW w:type="dxa" w:w="4500"/>
          </w:tcPr>
          <w:p>
            <w:r>
              <w:t xml:space="preserve">8.89</w:t>
            </w:r>
          </w:p>
        </w:tc>
      </w:tr>
      <w:tr>
        <w:tc>
          <w:tcPr>
            <w:tcW w:type="dxa" w:w="4500"/>
          </w:tcPr>
          <w:p>
            <w:r>
              <w:t xml:space="preserve">s5</w:t>
            </w:r>
          </w:p>
        </w:tc>
        <w:tc>
          <w:tcPr>
            <w:tcW w:type="dxa" w:w="4500"/>
          </w:tcPr>
          <w:p>
            <w:r>
              <w:t xml:space="preserve">10.08</w:t>
            </w:r>
          </w:p>
        </w:tc>
      </w:tr>
      <w:tr>
        <w:tc>
          <w:tcPr>
            <w:tcW w:type="dxa" w:w="4500"/>
          </w:tcPr>
          <w:p>
            <w:r>
              <w:t xml:space="preserve">s6</w:t>
            </w:r>
          </w:p>
        </w:tc>
        <w:tc>
          <w:tcPr>
            <w:tcW w:type="dxa" w:w="4500"/>
          </w:tcPr>
          <w:p>
            <w:r>
              <w:t xml:space="preserve">1.48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3.4 Normalización / Escalamiento</w:t>
      </w:r>
    </w:p>
    <w:p>
      <w:pPr>
        <w:spacing w:after="120"/>
      </w:pPr>
      <w:r>
        <w:t xml:space="preserve">Se aplicó StandardScaler sobre el conjunto de entrenamiento (80%) y se transformó el conjunto de prueba (20%) con los mismos parámetros, evitando fuga de datos (data leakage). La partición se realizó con random_state=42 para garantizar reproducibilidad.</w:t>
      </w:r>
    </w:p>
    <w:p>
      <w:pPr>
        <w:pStyle w:val="Heading1"/>
        <w:spacing w:after="150" w:before="300"/>
      </w:pPr>
      <w:r>
        <w:t xml:space="preserve">4. Fase B: Modelamiento Estadístico</w:t>
      </w:r>
    </w:p>
    <w:p>
      <w:pPr>
        <w:pStyle w:val="Heading2"/>
        <w:spacing w:after="100" w:before="200"/>
      </w:pPr>
      <w:r>
        <w:t xml:space="preserve">4.1 Regresión Lineal Múltiple</w:t>
      </w:r>
    </w:p>
    <w:p>
      <w:pPr>
        <w:spacing w:after="120"/>
      </w:pPr>
      <w:r>
        <w:t xml:space="preserve">Métricas obtenidas sobre el conjunto de prueba: R² = 0.4526, MAE = 42.7941, RMSE = 53.8534.</w:t>
      </w:r>
    </w:p>
    <w:p>
      <w:pPr>
        <w:spacing w:after="120"/>
      </w:pPr>
      <w:r>
        <w:t xml:space="preserve">Coeficientes del modelo (variables estandarizadas):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Variable</w:t>
            </w:r>
          </w:p>
        </w:tc>
        <w:tc>
          <w:tcPr>
            <w:tcW w:type="dxa" w:w="45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Coeficiente</w:t>
            </w:r>
          </w:p>
        </w:tc>
      </w:tr>
      <w:tr>
        <w:tc>
          <w:tcPr>
            <w:tcW w:type="dxa" w:w="4500"/>
          </w:tcPr>
          <w:p>
            <w:r>
              <w:t xml:space="preserve">age</w:t>
            </w:r>
          </w:p>
        </w:tc>
        <w:tc>
          <w:tcPr>
            <w:tcW w:type="dxa" w:w="4500"/>
          </w:tcPr>
          <w:p>
            <w:r>
              <w:t xml:space="preserve">1.754</w:t>
            </w:r>
          </w:p>
        </w:tc>
      </w:tr>
      <w:tr>
        <w:tc>
          <w:tcPr>
            <w:tcW w:type="dxa" w:w="4500"/>
          </w:tcPr>
          <w:p>
            <w:r>
              <w:t xml:space="preserve">sex</w:t>
            </w:r>
          </w:p>
        </w:tc>
        <w:tc>
          <w:tcPr>
            <w:tcW w:type="dxa" w:w="4500"/>
          </w:tcPr>
          <w:p>
            <w:r>
              <w:t xml:space="preserve">-11.512</w:t>
            </w:r>
          </w:p>
        </w:tc>
      </w:tr>
      <w:tr>
        <w:tc>
          <w:tcPr>
            <w:tcW w:type="dxa" w:w="4500"/>
          </w:tcPr>
          <w:p>
            <w:r>
              <w:t xml:space="preserve">bmi</w:t>
            </w:r>
          </w:p>
        </w:tc>
        <w:tc>
          <w:tcPr>
            <w:tcW w:type="dxa" w:w="4500"/>
          </w:tcPr>
          <w:p>
            <w:r>
              <w:t xml:space="preserve">25.607</w:t>
            </w:r>
          </w:p>
        </w:tc>
      </w:tr>
      <w:tr>
        <w:tc>
          <w:tcPr>
            <w:tcW w:type="dxa" w:w="4500"/>
          </w:tcPr>
          <w:p>
            <w:r>
              <w:t xml:space="preserve">bp</w:t>
            </w:r>
          </w:p>
        </w:tc>
        <w:tc>
          <w:tcPr>
            <w:tcW w:type="dxa" w:w="4500"/>
          </w:tcPr>
          <w:p>
            <w:r>
              <w:t xml:space="preserve">16.829</w:t>
            </w:r>
          </w:p>
        </w:tc>
      </w:tr>
      <w:tr>
        <w:tc>
          <w:tcPr>
            <w:tcW w:type="dxa" w:w="4500"/>
          </w:tcPr>
          <w:p>
            <w:r>
              <w:t xml:space="preserve">s1</w:t>
            </w:r>
          </w:p>
        </w:tc>
        <w:tc>
          <w:tcPr>
            <w:tcW w:type="dxa" w:w="4500"/>
          </w:tcPr>
          <w:p>
            <w:r>
              <w:t xml:space="preserve">-44.449</w:t>
            </w:r>
          </w:p>
        </w:tc>
      </w:tr>
      <w:tr>
        <w:tc>
          <w:tcPr>
            <w:tcW w:type="dxa" w:w="4500"/>
          </w:tcPr>
          <w:p>
            <w:r>
              <w:t xml:space="preserve">s2</w:t>
            </w:r>
          </w:p>
        </w:tc>
        <w:tc>
          <w:tcPr>
            <w:tcW w:type="dxa" w:w="4500"/>
          </w:tcPr>
          <w:p>
            <w:r>
              <w:t xml:space="preserve">24.641</w:t>
            </w:r>
          </w:p>
        </w:tc>
      </w:tr>
      <w:tr>
        <w:tc>
          <w:tcPr>
            <w:tcW w:type="dxa" w:w="4500"/>
          </w:tcPr>
          <w:p>
            <w:r>
              <w:t xml:space="preserve">s3</w:t>
            </w:r>
          </w:p>
        </w:tc>
        <w:tc>
          <w:tcPr>
            <w:tcW w:type="dxa" w:w="4500"/>
          </w:tcPr>
          <w:p>
            <w:r>
              <w:t xml:space="preserve">7.677</w:t>
            </w:r>
          </w:p>
        </w:tc>
      </w:tr>
      <w:tr>
        <w:tc>
          <w:tcPr>
            <w:tcW w:type="dxa" w:w="4500"/>
          </w:tcPr>
          <w:p>
            <w:r>
              <w:t xml:space="preserve">s4</w:t>
            </w:r>
          </w:p>
        </w:tc>
        <w:tc>
          <w:tcPr>
            <w:tcW w:type="dxa" w:w="4500"/>
          </w:tcPr>
          <w:p>
            <w:r>
              <w:t xml:space="preserve">13.139</w:t>
            </w:r>
          </w:p>
        </w:tc>
      </w:tr>
      <w:tr>
        <w:tc>
          <w:tcPr>
            <w:tcW w:type="dxa" w:w="4500"/>
          </w:tcPr>
          <w:p>
            <w:r>
              <w:t xml:space="preserve">s5</w:t>
            </w:r>
          </w:p>
        </w:tc>
        <w:tc>
          <w:tcPr>
            <w:tcW w:type="dxa" w:w="4500"/>
          </w:tcPr>
          <w:p>
            <w:r>
              <w:t xml:space="preserve">35.161</w:t>
            </w:r>
          </w:p>
        </w:tc>
      </w:tr>
      <w:tr>
        <w:tc>
          <w:tcPr>
            <w:tcW w:type="dxa" w:w="4500"/>
          </w:tcPr>
          <w:p>
            <w:r>
              <w:t xml:space="preserve">s6</w:t>
            </w:r>
          </w:p>
        </w:tc>
        <w:tc>
          <w:tcPr>
            <w:tcW w:type="dxa" w:w="4500"/>
          </w:tcPr>
          <w:p>
            <w:r>
              <w:t xml:space="preserve">2.351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Las variables con mayor peso en la predicción son s1 (negativo), s5, bmi y s2, coherente con lo observado en la matriz de correlación.</w:t>
      </w:r>
    </w:p>
    <w:p>
      <w:pPr>
        <w:pStyle w:val="Heading2"/>
        <w:spacing w:after="100" w:before="200"/>
      </w:pPr>
      <w:r>
        <w:t xml:space="preserve">4.2 Regresión Polinomial (grado 2)</w:t>
      </w:r>
    </w:p>
    <w:p>
      <w:pPr>
        <w:spacing w:after="120"/>
      </w:pPr>
      <w:r>
        <w:t xml:space="preserve">Se generaron 65 características polinomiales (interacciones y términos cuadráticos) a partir de las 10 variables originales. Métricas: R² = 0.4156, MAE = 43.5817, RMSE = 55.642.</w:t>
      </w:r>
    </w:p>
    <w:p>
      <w:pPr>
        <w:pStyle w:val="Heading2"/>
        <w:spacing w:after="100" w:before="200"/>
      </w:pPr>
      <w:r>
        <w:t xml:space="preserve">4.3 Comparación Real vs. Predicción</w:t>
      </w:r>
    </w:p>
    <w:p>
      <w:pPr>
        <w:spacing w:after="200"/>
        <w:jc w:val="center"/>
      </w:pPr>
      <w:r>
        <w:drawing>
          <wp:inline distT="0" distB="0" distL="0" distR="0">
            <wp:extent cx="4762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5. Discusión de Resultados</w:t>
      </w:r>
    </w:p>
    <w:p>
      <w:pPr>
        <w:spacing w:after="120"/>
      </w:pPr>
      <w:r>
        <w:t xml:space="preserve">El modelo de Regresión Lineal Múltiple (R² = 0.4526) obtuvo un desempeño ligeramente superior al modelo Polinomial de grado 2 (R² = 0.4156) en el conjunto de prueba. Esto indica que, para este dataset, agregar interacciones cuadráticas no mejora la capacidad de generalización y probablemente introduce sobreajuste dado el tamaño reducido de la muestra (442 registros) frente a las 65 características generadas.</w:t>
      </w:r>
    </w:p>
    <w:p>
      <w:pPr>
        <w:spacing w:after="120"/>
      </w:pPr>
      <w:r>
        <w:t xml:space="preserve">La alta multicolinealidad entre s1 y s2 sugiere que un modelo regularizado (Ridge o Lasso) podría mejorar la estabilidad de los coeficientes, aunque esto excede el alcance de Regresión Lineal/Polinomial solicitado en este taller.</w:t>
      </w:r>
    </w:p>
    <w:p>
      <w:pPr>
        <w:pStyle w:val="Heading1"/>
        <w:spacing w:after="150" w:before="300"/>
      </w:pPr>
      <w:r>
        <w:t xml:space="preserve">6. Conclusiones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dataset no presenta valores nulos ni duplicados, pero sí multicolinealidad relevante entre las variables s1 y s2.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IMC (bmi) y la medición s5 son los predictores individuales más relevantes de la progresión de la diabetes.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 Regresión Lineal Múltiple ofrece un mejor equilibrio entre desempeño y simplicidad frente a la Regresión Polinomial para este caso.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Ambos modelos explican menos del 50% de la varianza (R² ≈ 0.42-0.45), lo que sugiere que otras variables no incluidas en el dataset (dieta, actividad física, genética) podrían mejorar la predicción.</w:t>
      </w:r>
    </w:p>
    <w:p>
      <w:pPr>
        <w:pStyle w:val="Heading1"/>
        <w:spacing w:after="150" w:before="300"/>
      </w:pPr>
      <w:r>
        <w:t xml:space="preserve">7. Referencias</w:t>
      </w:r>
    </w:p>
    <w:p>
      <w:pPr>
        <w:spacing w:after="120"/>
      </w:pPr>
      <w:r>
        <w:rPr>
          <w:i/>
          <w:iCs/>
        </w:rPr>
        <w:t xml:space="preserve">Scikit-learn developers. (2024). Diabetes dataset. https://scikit-learn.org/stable/datasets/toy_dataset.html#diabetes-dataset</w:t>
      </w:r>
    </w:p>
    <w:p>
      <w:pPr>
        <w:spacing w:after="120"/>
      </w:pPr>
      <w:r>
        <w:rPr>
          <w:i/>
          <w:iCs/>
        </w:rPr>
        <w:t xml:space="preserve">Pedregosa, F., et al. (2011). Scikit-learn: Machine Learning in Python. Journal of Machine Learning Research, 12, 2825-2830.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a793f40eb572cbb8fbca72aea1c76edec05f68a.png"/><Relationship Id="rId8" Type="http://schemas.openxmlformats.org/officeDocument/2006/relationships/image" Target="media/86fde92824c6d7b3f0c5a95aba913faf8b732b0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2026-08-19T19:26:14.609Z</dcterms:created>
  <dcterms:modified xsi:type="dcterms:W3CDTF">2026-08-19T19:26:14.619Z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