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A52"/>
          <w:sz w:val="52"/>
        </w:rPr>
        <w:t>Avance de Proyecto Final 2</w:t>
      </w:r>
    </w:p>
    <w:p>
      <w:pPr>
        <w:jc w:val="center"/>
      </w:pPr>
      <w:r>
        <w:rPr>
          <w:color w:val="2E4A9E"/>
          <w:sz w:val="32"/>
        </w:rPr>
        <w:t>Sistema de Matrícula</w:t>
      </w:r>
    </w:p>
    <w:p/>
    <w:p>
      <w:pPr>
        <w:spacing w:after="40"/>
        <w:jc w:val="center"/>
      </w:pPr>
      <w:r>
        <w:rPr>
          <w:color w:val="555555"/>
          <w:sz w:val="21"/>
        </w:rPr>
        <w:t>Curso: Herramientas de Desarrollo (100000S66T)</w:t>
      </w:r>
    </w:p>
    <w:p>
      <w:pPr>
        <w:spacing w:after="40"/>
        <w:jc w:val="center"/>
      </w:pPr>
      <w:r>
        <w:rPr>
          <w:color w:val="555555"/>
          <w:sz w:val="21"/>
        </w:rPr>
        <w:t>Periodo: 2026-II</w:t>
      </w:r>
    </w:p>
    <w:p>
      <w:pPr>
        <w:spacing w:after="40"/>
        <w:jc w:val="center"/>
      </w:pPr>
      <w:r>
        <w:rPr>
          <w:color w:val="555555"/>
          <w:sz w:val="21"/>
        </w:rPr>
        <w:t>Semana: 11</w:t>
      </w:r>
    </w:p>
    <w:p>
      <w:pPr>
        <w:spacing w:after="40"/>
        <w:jc w:val="center"/>
      </w:pPr>
      <w:r>
        <w:rPr>
          <w:color w:val="555555"/>
          <w:sz w:val="21"/>
        </w:rPr>
        <w:t>Versión: v2.0.0</w:t>
      </w:r>
    </w:p>
    <w:p>
      <w:pPr>
        <w:spacing w:after="40"/>
        <w:jc w:val="center"/>
      </w:pPr>
      <w:r>
        <w:rPr>
          <w:color w:val="555555"/>
          <w:sz w:val="21"/>
        </w:rPr>
        <w:t>Proyecto: Sistema de Matrícula</w:t>
      </w:r>
    </w:p>
    <w:p>
      <w:pPr>
        <w:spacing w:after="40"/>
        <w:jc w:val="center"/>
      </w:pPr>
      <w:r>
        <w:rPr>
          <w:color w:val="555555"/>
          <w:sz w:val="21"/>
        </w:rPr>
        <w:t>Repositorio: github.com/Rodrigo2326/sistema-matricula</w:t>
      </w:r>
    </w:p>
    <w:p/>
    <w:p>
      <w:pPr>
        <w:jc w:val="center"/>
      </w:pPr>
      <w:r>
        <w:rPr>
          <w:b/>
          <w:color w:val="1A2A52"/>
        </w:rPr>
        <w:t>Integrantes</w:t>
      </w:r>
    </w:p>
    <w:p>
      <w:pPr>
        <w:spacing w:after="40"/>
        <w:jc w:val="center"/>
      </w:pPr>
      <w:r>
        <w:rPr>
          <w:sz w:val="22"/>
        </w:rPr>
        <w:t>Ccahuana Huillca Giancarlo</w:t>
      </w:r>
    </w:p>
    <w:p>
      <w:pPr>
        <w:spacing w:after="40"/>
        <w:jc w:val="center"/>
      </w:pPr>
      <w:r>
        <w:rPr>
          <w:sz w:val="22"/>
        </w:rPr>
        <w:t>Aparcana Mamani Rodrigo Alonso</w:t>
      </w:r>
    </w:p>
    <w:p>
      <w:pPr>
        <w:spacing w:after="40"/>
        <w:jc w:val="center"/>
      </w:pPr>
      <w:r>
        <w:rPr>
          <w:sz w:val="22"/>
        </w:rPr>
        <w:t>Arnold Jhuncor Díaz Silva</w:t>
      </w:r>
    </w:p>
    <w:p>
      <w:r>
        <w:br w:type="page"/>
      </w:r>
    </w:p>
    <w:p>
      <w:pPr>
        <w:pStyle w:val="Heading2"/>
      </w:pPr>
      <w:r>
        <w:t>1. Objetivo del avance</w:t>
      </w:r>
    </w:p>
    <w:p>
      <w:pPr>
        <w:jc w:val="both"/>
      </w:pPr>
      <w:r>
        <w:t xml:space="preserve">El APF1 dejó el proyecto versionado y con el flujo fundamental de Git funcionando. Este segundo avance tiene un objetivo distinto: convertir ese repositorio en un </w:t>
      </w:r>
      <w:r>
        <w:rPr>
          <w:b/>
        </w:rPr>
        <w:t>entorno de trabajo colaborativo organizado y trazable</w:t>
      </w:r>
      <w:r>
        <w:t>.</w:t>
      </w:r>
    </w:p>
    <w:p>
      <w:pPr>
        <w:jc w:val="both"/>
      </w:pPr>
      <w:r>
        <w:t xml:space="preserve">En términos concretos, eso significó dejar de integrar cambios directamente sobre </w:t>
      </w:r>
      <w:r>
        <w:rPr>
          <w:rFonts w:ascii="Consolas" w:hAnsi="Consolas"/>
          <w:color w:val="2E4A9E"/>
          <w:sz w:val="19"/>
        </w:rPr>
        <w:t>main</w:t>
      </w:r>
      <w:r>
        <w:t xml:space="preserve"> y pasar a un flujo en el que toda modificación entra por Pull Request, es revisada por otro integrante antes de integrarse, y queda relacionada con una tarea del tablero. El producto siguió creciendo —se agregaron tres funcionalidades— pero lo que este avance pretende demostrar es el </w:t>
      </w:r>
      <w:r>
        <w:rPr>
          <w:b/>
        </w:rPr>
        <w:t>proceso</w:t>
      </w:r>
      <w:r>
        <w:t xml:space="preserve"> con el que se agregaron.</w:t>
      </w:r>
    </w:p>
    <w:p>
      <w:pPr>
        <w:pStyle w:val="Heading2"/>
      </w:pPr>
      <w:r>
        <w:t>2. Continuidad del proyecto</w:t>
      </w:r>
    </w:p>
    <w:p>
      <w:pPr>
        <w:jc w:val="both"/>
      </w:pPr>
      <w:r>
        <w:t>Se mantiene el mismo proyecto del APF1: una aplicación web para el registro y consulta de matrículas de estudiantes por ciclo académico, que se ejecuta en el navegador sin servidor ni instalación y guarda la información en el almacenamiento local.</w:t>
      </w:r>
    </w:p>
    <w:p>
      <w:pPr>
        <w:jc w:val="both"/>
      </w:pPr>
      <w:r>
        <w:t xml:space="preserve">La continuidad es verificable en el historial: el avance parte del commit </w:t>
      </w:r>
      <w:r>
        <w:rPr>
          <w:rFonts w:ascii="Consolas" w:hAnsi="Consolas"/>
          <w:color w:val="2E4A9E"/>
          <w:sz w:val="19"/>
        </w:rPr>
        <w:t>83d4533</w:t>
      </w:r>
      <w:r>
        <w:t>, que cerró el APF1, y no hay en el repositorio ninguna carpeta paralela ni copia del proyecto. Todo el crecimiento está en la misma línea de historia.</w:t>
      </w:r>
    </w:p>
    <w:p>
      <w:pPr>
        <w:pStyle w:val="Heading2"/>
      </w:pPr>
      <w:r>
        <w:t>3. Evolución funcional del producto</w:t>
      </w:r>
    </w:p>
    <w:p>
      <w:pPr>
        <w:jc w:val="both"/>
      </w:pPr>
      <w:r>
        <w:t>El APF1 entregó el registro de matrículas, el listado con contador, la búsqueda, los filtros por carrera y ciclo, el ordenamiento por columnas, la edición, la validación, la exportación a CSV y el resumen por carrera.</w:t>
      </w:r>
    </w:p>
    <w:p>
      <w:pPr>
        <w:jc w:val="both"/>
      </w:pPr>
      <w:r>
        <w:t xml:space="preserve">El APF2 agregó </w:t>
      </w:r>
      <w:r>
        <w:rPr>
          <w:b/>
        </w:rPr>
        <w:t>tres funcionalidades nuevas, una por integrante</w:t>
      </w:r>
      <w:r>
        <w:t>.</w:t>
      </w:r>
    </w:p>
    <w:p>
      <w:pPr>
        <w:pStyle w:val="Heading3"/>
      </w:pPr>
      <w:r>
        <w:t>3.1. Catálogo de cursos con control de vacantes</w:t>
      </w:r>
    </w:p>
    <w:p>
      <w:pPr>
        <w:jc w:val="both"/>
      </w:pPr>
      <w:r>
        <w:t>Hasta el APF1 el curso a matricular se escribía a mano en un campo de texto libre. Eso tenía dos consecuencias: el mismo curso podía quedar registrado de varias formas distintas, y —más grave— no existía ninguna noción de capacidad. Se podía matricular a cuarenta estudiantes en un aula de treinta.</w:t>
      </w:r>
    </w:p>
    <w:p>
      <w:pPr>
        <w:jc w:val="both"/>
      </w:pPr>
      <w:r>
        <w:t xml:space="preserve">Se incorporó una sección de </w:t>
      </w:r>
      <w:r>
        <w:rPr>
          <w:b/>
        </w:rPr>
        <w:t>Catálogo de cursos</w:t>
      </w:r>
      <w:r>
        <w:t xml:space="preserve"> donde se da de alta cada curso con su código, nombre, carrera, ciclo y número de vacantes. El listado muestra la ocupación en formato </w:t>
      </w:r>
      <w:r>
        <w:rPr>
          <w:rFonts w:ascii="Consolas" w:hAnsi="Consolas"/>
          <w:color w:val="2E4A9E"/>
          <w:sz w:val="19"/>
        </w:rPr>
        <w:t>matriculados / vacantes</w:t>
      </w:r>
      <w:r>
        <w:t xml:space="preserve"> y una etiqueta de estado que indica cuántas vacantes quedan libres o si el cupo se agotó.</w:t>
      </w:r>
    </w:p>
    <w:p>
      <w:pPr>
        <w:jc w:val="both"/>
      </w:pPr>
      <w:r>
        <w:t xml:space="preserve">En el formulario de matrícula, el campo de curso pasó de ser un texto libre a un </w:t>
      </w:r>
      <w:r>
        <w:rPr>
          <w:b/>
        </w:rPr>
        <w:t>selector alimentado por el catálogo</w:t>
      </w:r>
      <w:r>
        <w:t>, filtrado por la carrera y el ciclo elegidos, que muestra las vacantes restantes de cada curso y deshabilita los que ya están llenos. La validación rechaza la matrícula cuando el cupo se agotó, de modo que la restricción no depende solo de la interfaz.</w:t>
      </w:r>
    </w:p>
    <w:p>
      <w:pPr>
        <w:jc w:val="both"/>
      </w:pPr>
      <w:r>
        <w:t>Dos reglas adicionales protegen la coherencia de los datos: no se puede eliminar un curso que tenga estudiantes matriculados, ni reducir sus vacantes por debajo de la ocupación que ya registra.</w:t>
      </w:r>
    </w:p>
    <w:p>
      <w:pPr>
        <w:pStyle w:val="Heading3"/>
      </w:pPr>
      <w:r>
        <w:t>3.2. Constancia de matrícula imprimible</w:t>
      </w:r>
    </w:p>
    <w:p>
      <w:pPr>
        <w:jc w:val="both"/>
      </w:pPr>
      <w:r>
        <w:t>Una matrícula registrada solo existía como una fila de una tabla. El estudiante no tenía forma de obtener un comprobante.</w:t>
      </w:r>
    </w:p>
    <w:p>
      <w:pPr>
        <w:jc w:val="both"/>
      </w:pPr>
      <w:r>
        <w:t xml:space="preserve">Se agregó un botón </w:t>
      </w:r>
      <w:r>
        <w:rPr>
          <w:b/>
        </w:rPr>
        <w:t>Constancia</w:t>
      </w:r>
      <w:r>
        <w:t xml:space="preserve"> en cada fila del listado que abre una vista con los datos del estudiante, el curso, el código del curso, la carrera, el ciclo y la fecha de matrícula, además de la fecha de emisión. La vista se puede imprimir o guardar como PDF desde el propio navegador.</w:t>
      </w:r>
    </w:p>
    <w:p>
      <w:pPr>
        <w:jc w:val="both"/>
      </w:pPr>
      <w:r>
        <w:t xml:space="preserve">La impresión se resolvió con una regla </w:t>
      </w:r>
      <w:r>
        <w:rPr>
          <w:rFonts w:ascii="Consolas" w:hAnsi="Consolas"/>
          <w:color w:val="2E4A9E"/>
          <w:sz w:val="19"/>
        </w:rPr>
        <w:t>@media print</w:t>
      </w:r>
      <w:r>
        <w:t xml:space="preserve"> en la hoja de estilos, de modo que al imprimir se ocultan el encabezado, los formularios, la barra de herramientas y los propios botones de la constancia, y queda únicamente la hoja. Es una decisión relevante: hacerlo por CSS en lugar de ocultar elementos con JavaScript significa que la aplicación no cambia de estado para imprimir.</w:t>
      </w:r>
    </w:p>
    <w:p>
      <w:pPr>
        <w:pStyle w:val="Heading3"/>
      </w:pPr>
      <w:r>
        <w:t>3.3. Panel de ocupación por curso</w:t>
      </w:r>
    </w:p>
    <w:p>
      <w:pPr>
        <w:jc w:val="both"/>
      </w:pPr>
      <w:r>
        <w:t>El catálogo muestra la ocupación curso por curso, pero leer veinte filas de números no da una lectura rápida de la situación general.</w:t>
      </w:r>
    </w:p>
    <w:p>
      <w:pPr>
        <w:jc w:val="both"/>
      </w:pPr>
      <w:r>
        <w:t xml:space="preserve">Se agregó un botón </w:t>
      </w:r>
      <w:r>
        <w:rPr>
          <w:b/>
        </w:rPr>
        <w:t>Ver ocupación</w:t>
      </w:r>
      <w:r>
        <w:t xml:space="preserve"> que despliega un panel con una barra de progreso por curso, con un semáforo según el llenado: verde por debajo del 70 %, ámbar entre 70 % y 99 %, y rojo al 100 %. Encima del panel, un aviso indica cuántos cursos quedaron sin vacantes.</w:t>
      </w:r>
    </w:p>
    <w:p>
      <w:pPr>
        <w:jc w:val="both"/>
      </w:pPr>
      <w:r>
        <w:t xml:space="preserve">El panel reutiliza las funciones </w:t>
      </w:r>
      <w:r>
        <w:rPr>
          <w:rFonts w:ascii="Consolas" w:hAnsi="Consolas"/>
          <w:color w:val="2E4A9E"/>
          <w:sz w:val="19"/>
        </w:rPr>
        <w:t>contarOcupacion()</w:t>
      </w:r>
      <w:r>
        <w:t xml:space="preserve"> y </w:t>
      </w:r>
      <w:r>
        <w:rPr>
          <w:rFonts w:ascii="Consolas" w:hAnsi="Consolas"/>
          <w:color w:val="2E4A9E"/>
          <w:sz w:val="19"/>
        </w:rPr>
        <w:t>vacantesLibres()</w:t>
      </w:r>
      <w:r>
        <w:t xml:space="preserve"> del módulo del catálogo en lugar de recalcular la ocupación por su cuenta. Esto importa más de lo que parece y se explica en la sección 9.</w:t>
      </w:r>
    </w:p>
    <w:p>
      <w:pPr>
        <w:pStyle w:val="Heading3"/>
      </w:pPr>
      <w:r>
        <w:t>3.4. Organización del código</w:t>
      </w:r>
    </w:p>
    <w:p>
      <w:pPr>
        <w:jc w:val="both"/>
      </w:pPr>
      <w:r>
        <w:t>Cada funcionalidad se desarrolló en su propio archivo, de modo que las tres ramas no compitieran por las mismas líneas:</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fill="F4F6FB"/>
          </w:tcPr>
          <w:p>
            <w:r>
              <w:rPr>
                <w:b/>
                <w:color w:val="1A2A52"/>
                <w:sz w:val="19"/>
              </w:rPr>
            </w:r>
            <w:r>
              <w:rPr>
                <w:b/>
                <w:color w:val="1A2A52"/>
                <w:sz w:val="19"/>
              </w:rPr>
              <w:t>Archivo</w:t>
            </w:r>
          </w:p>
        </w:tc>
        <w:tc>
          <w:tcPr>
            <w:tcW w:type="dxa" w:w="3173"/>
            <w:shd w:val="clear" w:fill="F4F6FB"/>
          </w:tcPr>
          <w:p>
            <w:r>
              <w:rPr>
                <w:b/>
                <w:color w:val="1A2A52"/>
                <w:sz w:val="19"/>
              </w:rPr>
            </w:r>
            <w:r>
              <w:rPr>
                <w:b/>
                <w:color w:val="1A2A52"/>
                <w:sz w:val="19"/>
              </w:rPr>
              <w:t>Responsabilidad</w:t>
            </w:r>
          </w:p>
        </w:tc>
        <w:tc>
          <w:tcPr>
            <w:tcW w:type="dxa" w:w="3173"/>
            <w:shd w:val="clear" w:fill="F4F6FB"/>
          </w:tcPr>
          <w:p>
            <w:r>
              <w:rPr>
                <w:b/>
                <w:color w:val="1A2A52"/>
                <w:sz w:val="19"/>
              </w:rPr>
            </w:r>
            <w:r>
              <w:rPr>
                <w:b/>
                <w:color w:val="1A2A52"/>
                <w:sz w:val="19"/>
              </w:rPr>
              <w:t>Líneas</w:t>
            </w:r>
          </w:p>
        </w:tc>
      </w:tr>
      <w:tr>
        <w:tc>
          <w:tcPr>
            <w:tcW w:type="dxa" w:w="3173"/>
          </w:tcPr>
          <w:p>
            <w:r>
              <w:rPr>
                <w:sz w:val="19"/>
              </w:rPr>
            </w:r>
            <w:r>
              <w:rPr>
                <w:rFonts w:ascii="Consolas" w:hAnsi="Consolas"/>
                <w:color w:val="2E4A9E"/>
                <w:sz w:val="19"/>
              </w:rPr>
              <w:t>js/app.js</w:t>
            </w:r>
          </w:p>
        </w:tc>
        <w:tc>
          <w:tcPr>
            <w:tcW w:type="dxa" w:w="3173"/>
          </w:tcPr>
          <w:p>
            <w:r>
              <w:rPr>
                <w:sz w:val="19"/>
              </w:rPr>
            </w:r>
            <w:r>
              <w:rPr>
                <w:sz w:val="19"/>
              </w:rPr>
              <w:t>Registro, listado, búsqueda, filtros y validación</w:t>
            </w:r>
          </w:p>
        </w:tc>
        <w:tc>
          <w:tcPr>
            <w:tcW w:type="dxa" w:w="3173"/>
          </w:tcPr>
          <w:p>
            <w:r>
              <w:rPr>
                <w:sz w:val="19"/>
              </w:rPr>
            </w:r>
            <w:r>
              <w:rPr>
                <w:sz w:val="19"/>
              </w:rPr>
              <w:t>430</w:t>
            </w:r>
          </w:p>
        </w:tc>
      </w:tr>
      <w:tr>
        <w:tc>
          <w:tcPr>
            <w:tcW w:type="dxa" w:w="3173"/>
          </w:tcPr>
          <w:p>
            <w:r>
              <w:rPr>
                <w:sz w:val="19"/>
              </w:rPr>
            </w:r>
            <w:r>
              <w:rPr>
                <w:rFonts w:ascii="Consolas" w:hAnsi="Consolas"/>
                <w:color w:val="2E4A9E"/>
                <w:sz w:val="19"/>
              </w:rPr>
              <w:t>js/cursos.js</w:t>
            </w:r>
          </w:p>
        </w:tc>
        <w:tc>
          <w:tcPr>
            <w:tcW w:type="dxa" w:w="3173"/>
          </w:tcPr>
          <w:p>
            <w:r>
              <w:rPr>
                <w:sz w:val="19"/>
              </w:rPr>
            </w:r>
            <w:r>
              <w:rPr>
                <w:sz w:val="19"/>
              </w:rPr>
              <w:t>Catálogo de cursos y control de vacantes</w:t>
            </w:r>
          </w:p>
        </w:tc>
        <w:tc>
          <w:tcPr>
            <w:tcW w:type="dxa" w:w="3173"/>
          </w:tcPr>
          <w:p>
            <w:r>
              <w:rPr>
                <w:sz w:val="19"/>
              </w:rPr>
            </w:r>
            <w:r>
              <w:rPr>
                <w:sz w:val="19"/>
              </w:rPr>
              <w:t>332</w:t>
            </w:r>
          </w:p>
        </w:tc>
      </w:tr>
      <w:tr>
        <w:tc>
          <w:tcPr>
            <w:tcW w:type="dxa" w:w="3173"/>
          </w:tcPr>
          <w:p>
            <w:r>
              <w:rPr>
                <w:sz w:val="19"/>
              </w:rPr>
            </w:r>
            <w:r>
              <w:rPr>
                <w:rFonts w:ascii="Consolas" w:hAnsi="Consolas"/>
                <w:color w:val="2E4A9E"/>
                <w:sz w:val="19"/>
              </w:rPr>
              <w:t>js/constancia.js</w:t>
            </w:r>
          </w:p>
        </w:tc>
        <w:tc>
          <w:tcPr>
            <w:tcW w:type="dxa" w:w="3173"/>
          </w:tcPr>
          <w:p>
            <w:r>
              <w:rPr>
                <w:sz w:val="19"/>
              </w:rPr>
            </w:r>
            <w:r>
              <w:rPr>
                <w:sz w:val="19"/>
              </w:rPr>
              <w:t>Constancia de matrícula imprimible</w:t>
            </w:r>
          </w:p>
        </w:tc>
        <w:tc>
          <w:tcPr>
            <w:tcW w:type="dxa" w:w="3173"/>
          </w:tcPr>
          <w:p>
            <w:r>
              <w:rPr>
                <w:sz w:val="19"/>
              </w:rPr>
            </w:r>
            <w:r>
              <w:rPr>
                <w:sz w:val="19"/>
              </w:rPr>
              <w:t>60</w:t>
            </w:r>
          </w:p>
        </w:tc>
      </w:tr>
      <w:tr>
        <w:tc>
          <w:tcPr>
            <w:tcW w:type="dxa" w:w="3173"/>
          </w:tcPr>
          <w:p>
            <w:r>
              <w:rPr>
                <w:sz w:val="19"/>
              </w:rPr>
            </w:r>
            <w:r>
              <w:rPr>
                <w:rFonts w:ascii="Consolas" w:hAnsi="Consolas"/>
                <w:color w:val="2E4A9E"/>
                <w:sz w:val="19"/>
              </w:rPr>
              <w:t>js/ocupacion.js</w:t>
            </w:r>
          </w:p>
        </w:tc>
        <w:tc>
          <w:tcPr>
            <w:tcW w:type="dxa" w:w="3173"/>
          </w:tcPr>
          <w:p>
            <w:r>
              <w:rPr>
                <w:sz w:val="19"/>
              </w:rPr>
            </w:r>
            <w:r>
              <w:rPr>
                <w:sz w:val="19"/>
              </w:rPr>
              <w:t>Panel de ocupación por curso</w:t>
            </w:r>
          </w:p>
        </w:tc>
        <w:tc>
          <w:tcPr>
            <w:tcW w:type="dxa" w:w="3173"/>
          </w:tcPr>
          <w:p>
            <w:r>
              <w:rPr>
                <w:sz w:val="19"/>
              </w:rPr>
            </w:r>
            <w:r>
              <w:rPr>
                <w:sz w:val="19"/>
              </w:rPr>
              <w:t>71</w:t>
            </w:r>
          </w:p>
        </w:tc>
      </w:tr>
    </w:tbl>
    <w:p>
      <w:pPr>
        <w:spacing w:after="80"/>
      </w:pPr>
    </w:p>
    <w:p>
      <w:pPr>
        <w:pStyle w:val="Heading2"/>
      </w:pPr>
      <w:r>
        <w:t>4. Organización del equipo</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fill="F4F6FB"/>
          </w:tcPr>
          <w:p>
            <w:r>
              <w:rPr>
                <w:b/>
                <w:color w:val="1A2A52"/>
                <w:sz w:val="19"/>
              </w:rPr>
            </w:r>
            <w:r>
              <w:rPr>
                <w:b/>
                <w:color w:val="1A2A52"/>
                <w:sz w:val="19"/>
              </w:rPr>
              <w:t>Integrante</w:t>
            </w:r>
          </w:p>
        </w:tc>
        <w:tc>
          <w:tcPr>
            <w:tcW w:type="dxa" w:w="2379"/>
            <w:shd w:val="clear" w:fill="F4F6FB"/>
          </w:tcPr>
          <w:p>
            <w:r>
              <w:rPr>
                <w:b/>
                <w:color w:val="1A2A52"/>
                <w:sz w:val="19"/>
              </w:rPr>
            </w:r>
            <w:r>
              <w:rPr>
                <w:b/>
                <w:color w:val="1A2A52"/>
                <w:sz w:val="19"/>
              </w:rPr>
              <w:t>Usuario de GitHub</w:t>
            </w:r>
          </w:p>
        </w:tc>
        <w:tc>
          <w:tcPr>
            <w:tcW w:type="dxa" w:w="2379"/>
            <w:shd w:val="clear" w:fill="F4F6FB"/>
          </w:tcPr>
          <w:p>
            <w:r>
              <w:rPr>
                <w:b/>
                <w:color w:val="1A2A52"/>
                <w:sz w:val="19"/>
              </w:rPr>
            </w:r>
            <w:r>
              <w:rPr>
                <w:b/>
                <w:color w:val="1A2A52"/>
                <w:sz w:val="19"/>
              </w:rPr>
              <w:t>Rol</w:t>
            </w:r>
          </w:p>
        </w:tc>
        <w:tc>
          <w:tcPr>
            <w:tcW w:type="dxa" w:w="2379"/>
            <w:shd w:val="clear" w:fill="F4F6FB"/>
          </w:tcPr>
          <w:p>
            <w:r>
              <w:rPr>
                <w:b/>
                <w:color w:val="1A2A52"/>
                <w:sz w:val="19"/>
              </w:rPr>
            </w:r>
            <w:r>
              <w:rPr>
                <w:b/>
                <w:color w:val="1A2A52"/>
                <w:sz w:val="19"/>
              </w:rPr>
              <w:t>Aporte en el APF2</w:t>
            </w:r>
          </w:p>
        </w:tc>
      </w:tr>
      <w:tr>
        <w:tc>
          <w:tcPr>
            <w:tcW w:type="dxa" w:w="2379"/>
          </w:tcPr>
          <w:p>
            <w:r>
              <w:rPr>
                <w:sz w:val="19"/>
              </w:rPr>
            </w:r>
            <w:r>
              <w:rPr>
                <w:sz w:val="19"/>
              </w:rPr>
              <w:t>Aparcana Mamani Rodrigo Alonso</w:t>
            </w:r>
          </w:p>
        </w:tc>
        <w:tc>
          <w:tcPr>
            <w:tcW w:type="dxa" w:w="2379"/>
          </w:tcPr>
          <w:p>
            <w:r>
              <w:rPr>
                <w:sz w:val="19"/>
              </w:rPr>
            </w:r>
            <w:r>
              <w:rPr>
                <w:sz w:val="19"/>
              </w:rPr>
              <w:t>@Rodrigo2326</w:t>
            </w:r>
          </w:p>
        </w:tc>
        <w:tc>
          <w:tcPr>
            <w:tcW w:type="dxa" w:w="2379"/>
          </w:tcPr>
          <w:p>
            <w:r>
              <w:rPr>
                <w:sz w:val="19"/>
              </w:rPr>
            </w:r>
            <w:r>
              <w:rPr>
                <w:sz w:val="19"/>
              </w:rPr>
              <w:t>Responsable de repositorio y documentación</w:t>
            </w:r>
          </w:p>
        </w:tc>
        <w:tc>
          <w:tcPr>
            <w:tcW w:type="dxa" w:w="2379"/>
          </w:tcPr>
          <w:p>
            <w:r>
              <w:rPr>
                <w:sz w:val="19"/>
              </w:rPr>
            </w:r>
            <w:r>
              <w:rPr>
                <w:sz w:val="19"/>
              </w:rPr>
              <w:t>Catálogo de cursos, integración de las ramas, release e informe</w:t>
            </w:r>
          </w:p>
        </w:tc>
      </w:tr>
      <w:tr>
        <w:tc>
          <w:tcPr>
            <w:tcW w:type="dxa" w:w="2379"/>
          </w:tcPr>
          <w:p>
            <w:r>
              <w:rPr>
                <w:sz w:val="19"/>
              </w:rPr>
            </w:r>
            <w:r>
              <w:rPr>
                <w:sz w:val="19"/>
              </w:rPr>
              <w:t>Ccahuana Huillca Giancarlo</w:t>
            </w:r>
          </w:p>
        </w:tc>
        <w:tc>
          <w:tcPr>
            <w:tcW w:type="dxa" w:w="2379"/>
          </w:tcPr>
          <w:p>
            <w:r>
              <w:rPr>
                <w:sz w:val="19"/>
              </w:rPr>
            </w:r>
            <w:r>
              <w:rPr>
                <w:sz w:val="19"/>
              </w:rPr>
              <w:t>@soulahrikermette-hub</w:t>
            </w:r>
          </w:p>
        </w:tc>
        <w:tc>
          <w:tcPr>
            <w:tcW w:type="dxa" w:w="2379"/>
          </w:tcPr>
          <w:p>
            <w:r>
              <w:rPr>
                <w:sz w:val="19"/>
              </w:rPr>
            </w:r>
            <w:r>
              <w:rPr>
                <w:sz w:val="19"/>
              </w:rPr>
              <w:t>Responsable funcional</w:t>
            </w:r>
          </w:p>
        </w:tc>
        <w:tc>
          <w:tcPr>
            <w:tcW w:type="dxa" w:w="2379"/>
          </w:tcPr>
          <w:p>
            <w:r>
              <w:rPr>
                <w:sz w:val="19"/>
              </w:rPr>
            </w:r>
            <w:r>
              <w:rPr>
                <w:sz w:val="19"/>
              </w:rPr>
              <w:t>Constancia de matrícula y revisión del PR #2</w:t>
            </w:r>
          </w:p>
        </w:tc>
      </w:tr>
      <w:tr>
        <w:tc>
          <w:tcPr>
            <w:tcW w:type="dxa" w:w="2379"/>
          </w:tcPr>
          <w:p>
            <w:r>
              <w:rPr>
                <w:sz w:val="19"/>
              </w:rPr>
            </w:r>
            <w:r>
              <w:rPr>
                <w:sz w:val="19"/>
              </w:rPr>
              <w:t>Arnold Jhuncor Díaz Silva</w:t>
            </w:r>
          </w:p>
        </w:tc>
        <w:tc>
          <w:tcPr>
            <w:tcW w:type="dxa" w:w="2379"/>
          </w:tcPr>
          <w:p>
            <w:r>
              <w:rPr>
                <w:sz w:val="19"/>
              </w:rPr>
            </w:r>
            <w:r>
              <w:rPr>
                <w:sz w:val="19"/>
              </w:rPr>
              <w:t>@gamergggpro123-lgtm</w:t>
            </w:r>
          </w:p>
        </w:tc>
        <w:tc>
          <w:tcPr>
            <w:tcW w:type="dxa" w:w="2379"/>
          </w:tcPr>
          <w:p>
            <w:r>
              <w:rPr>
                <w:sz w:val="19"/>
              </w:rPr>
            </w:r>
            <w:r>
              <w:rPr>
                <w:sz w:val="19"/>
              </w:rPr>
              <w:t>Responsable de calidad y automatización</w:t>
            </w:r>
          </w:p>
        </w:tc>
        <w:tc>
          <w:tcPr>
            <w:tcW w:type="dxa" w:w="2379"/>
          </w:tcPr>
          <w:p>
            <w:r>
              <w:rPr>
                <w:sz w:val="19"/>
              </w:rPr>
            </w:r>
            <w:r>
              <w:rPr>
                <w:sz w:val="19"/>
              </w:rPr>
              <w:t>Panel de ocupación por curso</w:t>
            </w:r>
          </w:p>
        </w:tc>
      </w:tr>
    </w:tbl>
    <w:p>
      <w:pPr>
        <w:spacing w:after="80"/>
      </w:pPr>
    </w:p>
    <w:p>
      <w:pPr>
        <w:jc w:val="both"/>
      </w:pPr>
      <w:r>
        <w:t xml:space="preserve">El reparto se hizo asignando a cada integrante </w:t>
      </w:r>
      <w:r>
        <w:rPr>
          <w:b/>
        </w:rPr>
        <w:t>una funcionalidad completa</w:t>
      </w:r>
      <w:r>
        <w:t>, no fragmentos de una misma. La razón es que así cada uno tiene que entender su parte de punta a punta —interfaz, lógica y estilos— y puede responder por ella en la sustentación.</w:t>
      </w:r>
    </w:p>
    <w:p>
      <w:pPr>
        <w:pStyle w:val="Heading2"/>
      </w:pPr>
      <w:r>
        <w:t>5. Herramienta de colaboración del equipo</w:t>
      </w:r>
    </w:p>
    <w:p>
      <w:pPr>
        <w:jc w:val="both"/>
      </w:pPr>
      <w:r>
        <w:t xml:space="preserve">El equipo utilizó </w:t>
      </w:r>
      <w:r>
        <w:rPr>
          <w:b/>
        </w:rPr>
        <w:t>Microsoft Teams</w:t>
      </w:r>
      <w:r>
        <w:t xml:space="preserve"> como herramienta de colaboración.</w:t>
      </w:r>
    </w:p>
    <w:p>
      <w:pPr>
        <w:jc w:val="both"/>
      </w:pPr>
      <w:r>
        <w:t xml:space="preserve">Se estableció una </w:t>
      </w:r>
      <w:r>
        <w:rPr>
          <w:b/>
        </w:rPr>
        <w:t>reunión de coordinación diaria de lunes a viernes, de 10:00 a 10:30 horas</w:t>
      </w:r>
      <w:r>
        <w:t>, es decir cinco reuniones de media hora por semana. En cada reunión cada integrante expuso el avance de su rama, se revisaron los Pull Requests pendientes de aprobación y se repartieron las tarjetas del tablero.</w:t>
      </w:r>
    </w:p>
    <w:p>
      <w:pPr>
        <w:jc w:val="both"/>
      </w:pPr>
      <w:r>
        <w:t xml:space="preserve">El canal del equipo en Teams se utilizó además para resolver dudas puntuales entre reuniones y, sobre todo, para acordar el </w:t>
      </w:r>
      <w:r>
        <w:rPr>
          <w:b/>
        </w:rPr>
        <w:t>orden de integración de las ramas</w:t>
      </w:r>
      <w:r>
        <w:t>. Esto último resultó necesario porque las tres funcionalidades dependían del catálogo de cursos, y sin un acuerdo explícito sobre qué se integraba primero los conflictos de fusión habrían aparecido por sorpresa.</w:t>
      </w:r>
    </w:p>
    <w:p>
      <w:pPr>
        <w:jc w:val="both"/>
      </w:pPr>
      <w:r>
        <w:t>La reunión diaria corta, en lugar de una reunión larga semanal, fue una decisión deliberada: con tres personas trabajando en ramas que se tocan entre sí, media hora diaria detecta los choques antes de que se vuelvan costosos.</w:t>
      </w:r>
    </w:p>
    <w:p>
      <w:pPr>
        <w:pStyle w:val="Heading2"/>
      </w:pPr>
      <w:r>
        <w:t>6. Gestión de actividades y del proyecto</w:t>
      </w:r>
    </w:p>
    <w:p>
      <w:pPr>
        <w:jc w:val="both"/>
      </w:pPr>
      <w:r>
        <w:t xml:space="preserve">Las actividades del avance se gestionaron con </w:t>
      </w:r>
      <w:r>
        <w:rPr>
          <w:b/>
        </w:rPr>
        <w:t>GitHub Issues</w:t>
      </w:r>
      <w:r>
        <w:t xml:space="preserve">, cada una con responsable asignado, etiqueta de tipo y el hito </w:t>
      </w:r>
      <w:r>
        <w:rPr>
          <w:b/>
        </w:rPr>
        <w:t>APF2 - Semana 11</w:t>
      </w:r>
      <w:r>
        <w:t>, con fecha límite al 14 de noviembre de 2026.</w:t>
      </w:r>
    </w:p>
    <w:p>
      <w:pPr>
        <w:jc w:val="both"/>
      </w:pPr>
      <w:r>
        <w:t>Se definieron diez tarjetas: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fill="F4F6FB"/>
          </w:tcPr>
          <w:p>
            <w:r>
              <w:rPr>
                <w:b/>
                <w:color w:val="1A2A52"/>
                <w:sz w:val="19"/>
              </w:rPr>
            </w:r>
            <w:r>
              <w:rPr>
                <w:b/>
                <w:color w:val="1A2A52"/>
                <w:sz w:val="19"/>
              </w:rPr>
              <w:t>#</w:t>
            </w:r>
          </w:p>
        </w:tc>
        <w:tc>
          <w:tcPr>
            <w:tcW w:type="dxa" w:w="2379"/>
            <w:shd w:val="clear" w:fill="F4F6FB"/>
          </w:tcPr>
          <w:p>
            <w:r>
              <w:rPr>
                <w:b/>
                <w:color w:val="1A2A52"/>
                <w:sz w:val="19"/>
              </w:rPr>
            </w:r>
            <w:r>
              <w:rPr>
                <w:b/>
                <w:color w:val="1A2A52"/>
                <w:sz w:val="19"/>
              </w:rPr>
              <w:t>Actividad</w:t>
            </w:r>
          </w:p>
        </w:tc>
        <w:tc>
          <w:tcPr>
            <w:tcW w:type="dxa" w:w="2379"/>
            <w:shd w:val="clear" w:fill="F4F6FB"/>
          </w:tcPr>
          <w:p>
            <w:r>
              <w:rPr>
                <w:b/>
                <w:color w:val="1A2A52"/>
                <w:sz w:val="19"/>
              </w:rPr>
            </w:r>
            <w:r>
              <w:rPr>
                <w:b/>
                <w:color w:val="1A2A52"/>
                <w:sz w:val="19"/>
              </w:rPr>
              <w:t>Responsable</w:t>
            </w:r>
          </w:p>
        </w:tc>
        <w:tc>
          <w:tcPr>
            <w:tcW w:type="dxa" w:w="2379"/>
            <w:shd w:val="clear" w:fill="F4F6FB"/>
          </w:tcPr>
          <w:p>
            <w:r>
              <w:rPr>
                <w:b/>
                <w:color w:val="1A2A52"/>
                <w:sz w:val="19"/>
              </w:rPr>
            </w:r>
            <w:r>
              <w:rPr>
                <w:b/>
                <w:color w:val="1A2A52"/>
                <w:sz w:val="19"/>
              </w:rPr>
              <w:t>Estado</w:t>
            </w:r>
          </w:p>
        </w:tc>
      </w:tr>
      <w:tr>
        <w:tc>
          <w:tcPr>
            <w:tcW w:type="dxa" w:w="2379"/>
          </w:tcPr>
          <w:p>
            <w:r>
              <w:rPr>
                <w:sz w:val="19"/>
              </w:rPr>
            </w:r>
            <w:r>
              <w:rPr>
                <w:sz w:val="19"/>
              </w:rPr>
              <w:t>3</w:t>
            </w:r>
          </w:p>
        </w:tc>
        <w:tc>
          <w:tcPr>
            <w:tcW w:type="dxa" w:w="2379"/>
          </w:tcPr>
          <w:p>
            <w:r>
              <w:rPr>
                <w:sz w:val="19"/>
              </w:rPr>
            </w:r>
            <w:r>
              <w:rPr>
                <w:sz w:val="19"/>
              </w:rPr>
              <w:t>Catálogo de cursos con control de vacantes</w:t>
            </w:r>
          </w:p>
        </w:tc>
        <w:tc>
          <w:tcPr>
            <w:tcW w:type="dxa" w:w="2379"/>
          </w:tcPr>
          <w:p>
            <w:r>
              <w:rPr>
                <w:sz w:val="19"/>
              </w:rPr>
            </w:r>
            <w:r>
              <w:rPr>
                <w:sz w:val="19"/>
              </w:rPr>
              <w:t>Rodrigo Aparcana</w:t>
            </w:r>
          </w:p>
        </w:tc>
        <w:tc>
          <w:tcPr>
            <w:tcW w:type="dxa" w:w="2379"/>
          </w:tcPr>
          <w:p>
            <w:r>
              <w:rPr>
                <w:sz w:val="19"/>
              </w:rPr>
            </w:r>
            <w:r>
              <w:rPr>
                <w:sz w:val="19"/>
              </w:rPr>
              <w:t>Finalizado</w:t>
            </w:r>
          </w:p>
        </w:tc>
      </w:tr>
      <w:tr>
        <w:tc>
          <w:tcPr>
            <w:tcW w:type="dxa" w:w="2379"/>
          </w:tcPr>
          <w:p>
            <w:r>
              <w:rPr>
                <w:sz w:val="19"/>
              </w:rPr>
            </w:r>
            <w:r>
              <w:rPr>
                <w:sz w:val="19"/>
              </w:rPr>
              <w:t>4</w:t>
            </w:r>
          </w:p>
        </w:tc>
        <w:tc>
          <w:tcPr>
            <w:tcW w:type="dxa" w:w="2379"/>
          </w:tcPr>
          <w:p>
            <w:r>
              <w:rPr>
                <w:sz w:val="19"/>
              </w:rPr>
            </w:r>
            <w:r>
              <w:rPr>
                <w:sz w:val="19"/>
              </w:rPr>
              <w:t>Constancia de matrícula imprimible</w:t>
            </w:r>
          </w:p>
        </w:tc>
        <w:tc>
          <w:tcPr>
            <w:tcW w:type="dxa" w:w="2379"/>
          </w:tcPr>
          <w:p>
            <w:r>
              <w:rPr>
                <w:sz w:val="19"/>
              </w:rPr>
            </w:r>
            <w:r>
              <w:rPr>
                <w:sz w:val="19"/>
              </w:rPr>
              <w:t>Giancarlo Ccahuana</w:t>
            </w:r>
          </w:p>
        </w:tc>
        <w:tc>
          <w:tcPr>
            <w:tcW w:type="dxa" w:w="2379"/>
          </w:tcPr>
          <w:p>
            <w:r>
              <w:rPr>
                <w:sz w:val="19"/>
              </w:rPr>
            </w:r>
            <w:r>
              <w:rPr>
                <w:sz w:val="19"/>
              </w:rPr>
              <w:t>Finalizado</w:t>
            </w:r>
          </w:p>
        </w:tc>
      </w:tr>
      <w:tr>
        <w:tc>
          <w:tcPr>
            <w:tcW w:type="dxa" w:w="2379"/>
          </w:tcPr>
          <w:p>
            <w:r>
              <w:rPr>
                <w:sz w:val="19"/>
              </w:rPr>
            </w:r>
            <w:r>
              <w:rPr>
                <w:sz w:val="19"/>
              </w:rPr>
              <w:t>5</w:t>
            </w:r>
          </w:p>
        </w:tc>
        <w:tc>
          <w:tcPr>
            <w:tcW w:type="dxa" w:w="2379"/>
          </w:tcPr>
          <w:p>
            <w:r>
              <w:rPr>
                <w:sz w:val="19"/>
              </w:rPr>
            </w:r>
            <w:r>
              <w:rPr>
                <w:sz w:val="19"/>
              </w:rPr>
              <w:t>Panel de ocupación por curso</w:t>
            </w:r>
          </w:p>
        </w:tc>
        <w:tc>
          <w:tcPr>
            <w:tcW w:type="dxa" w:w="2379"/>
          </w:tcPr>
          <w:p>
            <w:r>
              <w:rPr>
                <w:sz w:val="19"/>
              </w:rPr>
            </w:r>
            <w:r>
              <w:rPr>
                <w:sz w:val="19"/>
              </w:rPr>
              <w:t>Arnold Díaz</w:t>
            </w:r>
          </w:p>
        </w:tc>
        <w:tc>
          <w:tcPr>
            <w:tcW w:type="dxa" w:w="2379"/>
          </w:tcPr>
          <w:p>
            <w:r>
              <w:rPr>
                <w:sz w:val="19"/>
              </w:rPr>
            </w:r>
            <w:r>
              <w:rPr>
                <w:sz w:val="19"/>
              </w:rPr>
              <w:t>Finalizado</w:t>
            </w:r>
          </w:p>
        </w:tc>
      </w:tr>
      <w:tr>
        <w:tc>
          <w:tcPr>
            <w:tcW w:type="dxa" w:w="2379"/>
          </w:tcPr>
          <w:p>
            <w:r>
              <w:rPr>
                <w:sz w:val="19"/>
              </w:rPr>
            </w:r>
            <w:r>
              <w:rPr>
                <w:sz w:val="19"/>
              </w:rPr>
              <w:t>6</w:t>
            </w:r>
          </w:p>
        </w:tc>
        <w:tc>
          <w:tcPr>
            <w:tcW w:type="dxa" w:w="2379"/>
          </w:tcPr>
          <w:p>
            <w:r>
              <w:rPr>
                <w:sz w:val="19"/>
              </w:rPr>
            </w:r>
            <w:r>
              <w:rPr>
                <w:sz w:val="19"/>
              </w:rPr>
              <w:t>Revisar los Pull Requests antes de integrarlos</w:t>
            </w:r>
          </w:p>
        </w:tc>
        <w:tc>
          <w:tcPr>
            <w:tcW w:type="dxa" w:w="2379"/>
          </w:tcPr>
          <w:p>
            <w:r>
              <w:rPr>
                <w:sz w:val="19"/>
              </w:rPr>
            </w:r>
            <w:r>
              <w:rPr>
                <w:sz w:val="19"/>
              </w:rPr>
              <w:t>Los tres</w:t>
            </w:r>
          </w:p>
        </w:tc>
        <w:tc>
          <w:tcPr>
            <w:tcW w:type="dxa" w:w="2379"/>
          </w:tcPr>
          <w:p>
            <w:r>
              <w:rPr>
                <w:sz w:val="19"/>
              </w:rPr>
            </w:r>
            <w:r>
              <w:rPr>
                <w:sz w:val="19"/>
              </w:rPr>
              <w:t>En proceso</w:t>
            </w:r>
          </w:p>
        </w:tc>
      </w:tr>
      <w:tr>
        <w:tc>
          <w:tcPr>
            <w:tcW w:type="dxa" w:w="2379"/>
          </w:tcPr>
          <w:p>
            <w:r>
              <w:rPr>
                <w:sz w:val="19"/>
              </w:rPr>
            </w:r>
            <w:r>
              <w:rPr>
                <w:sz w:val="19"/>
              </w:rPr>
              <w:t>7</w:t>
            </w:r>
          </w:p>
        </w:tc>
        <w:tc>
          <w:tcPr>
            <w:tcW w:type="dxa" w:w="2379"/>
          </w:tcPr>
          <w:p>
            <w:r>
              <w:rPr>
                <w:sz w:val="19"/>
              </w:rPr>
            </w:r>
            <w:r>
              <w:rPr>
                <w:sz w:val="19"/>
              </w:rPr>
              <w:t>Publicar la release v2.0.0</w:t>
            </w:r>
          </w:p>
        </w:tc>
        <w:tc>
          <w:tcPr>
            <w:tcW w:type="dxa" w:w="2379"/>
          </w:tcPr>
          <w:p>
            <w:r>
              <w:rPr>
                <w:sz w:val="19"/>
              </w:rPr>
            </w:r>
            <w:r>
              <w:rPr>
                <w:sz w:val="19"/>
              </w:rPr>
              <w:t>Rodrigo Aparcana</w:t>
            </w:r>
          </w:p>
        </w:tc>
        <w:tc>
          <w:tcPr>
            <w:tcW w:type="dxa" w:w="2379"/>
          </w:tcPr>
          <w:p>
            <w:r>
              <w:rPr>
                <w:sz w:val="19"/>
              </w:rPr>
            </w:r>
            <w:r>
              <w:rPr>
                <w:sz w:val="19"/>
              </w:rPr>
              <w:t>Finalizado</w:t>
            </w:r>
          </w:p>
        </w:tc>
      </w:tr>
      <w:tr>
        <w:tc>
          <w:tcPr>
            <w:tcW w:type="dxa" w:w="2379"/>
          </w:tcPr>
          <w:p>
            <w:r>
              <w:rPr>
                <w:sz w:val="19"/>
              </w:rPr>
            </w:r>
            <w:r>
              <w:rPr>
                <w:sz w:val="19"/>
              </w:rPr>
              <w:t>8</w:t>
            </w:r>
          </w:p>
        </w:tc>
        <w:tc>
          <w:tcPr>
            <w:tcW w:type="dxa" w:w="2379"/>
          </w:tcPr>
          <w:p>
            <w:r>
              <w:rPr>
                <w:sz w:val="19"/>
              </w:rPr>
            </w:r>
            <w:r>
              <w:rPr>
                <w:sz w:val="19"/>
              </w:rPr>
              <w:t>Informe APF2, README y evidencias</w:t>
            </w:r>
          </w:p>
        </w:tc>
        <w:tc>
          <w:tcPr>
            <w:tcW w:type="dxa" w:w="2379"/>
          </w:tcPr>
          <w:p>
            <w:r>
              <w:rPr>
                <w:sz w:val="19"/>
              </w:rPr>
            </w:r>
            <w:r>
              <w:rPr>
                <w:sz w:val="19"/>
              </w:rPr>
              <w:t>Rodrigo Aparcana</w:t>
            </w:r>
          </w:p>
        </w:tc>
        <w:tc>
          <w:tcPr>
            <w:tcW w:type="dxa" w:w="2379"/>
          </w:tcPr>
          <w:p>
            <w:r>
              <w:rPr>
                <w:sz w:val="19"/>
              </w:rPr>
            </w:r>
            <w:r>
              <w:rPr>
                <w:sz w:val="19"/>
              </w:rPr>
              <w:t>Finalizado</w:t>
            </w:r>
          </w:p>
        </w:tc>
      </w:tr>
      <w:tr>
        <w:tc>
          <w:tcPr>
            <w:tcW w:type="dxa" w:w="2379"/>
          </w:tcPr>
          <w:p>
            <w:r>
              <w:rPr>
                <w:sz w:val="19"/>
              </w:rPr>
            </w:r>
            <w:r>
              <w:rPr>
                <w:sz w:val="19"/>
              </w:rPr>
              <w:t>9</w:t>
            </w:r>
          </w:p>
        </w:tc>
        <w:tc>
          <w:tcPr>
            <w:tcW w:type="dxa" w:w="2379"/>
          </w:tcPr>
          <w:p>
            <w:r>
              <w:rPr>
                <w:sz w:val="19"/>
              </w:rPr>
            </w:r>
            <w:r>
              <w:rPr>
                <w:sz w:val="19"/>
              </w:rPr>
              <w:t>Coordinar el equipo en Microsoft Teams</w:t>
            </w:r>
          </w:p>
        </w:tc>
        <w:tc>
          <w:tcPr>
            <w:tcW w:type="dxa" w:w="2379"/>
          </w:tcPr>
          <w:p>
            <w:r>
              <w:rPr>
                <w:sz w:val="19"/>
              </w:rPr>
            </w:r>
            <w:r>
              <w:rPr>
                <w:sz w:val="19"/>
              </w:rPr>
              <w:t>Los tres</w:t>
            </w:r>
          </w:p>
        </w:tc>
        <w:tc>
          <w:tcPr>
            <w:tcW w:type="dxa" w:w="2379"/>
          </w:tcPr>
          <w:p>
            <w:r>
              <w:rPr>
                <w:sz w:val="19"/>
              </w:rPr>
            </w:r>
            <w:r>
              <w:rPr>
                <w:sz w:val="19"/>
              </w:rPr>
              <w:t>En proceso</w:t>
            </w:r>
          </w:p>
        </w:tc>
      </w:tr>
      <w:tr>
        <w:tc>
          <w:tcPr>
            <w:tcW w:type="dxa" w:w="2379"/>
          </w:tcPr>
          <w:p>
            <w:r>
              <w:rPr>
                <w:sz w:val="19"/>
              </w:rPr>
            </w:r>
            <w:r>
              <w:rPr>
                <w:sz w:val="19"/>
              </w:rPr>
              <w:t>10</w:t>
            </w:r>
          </w:p>
        </w:tc>
        <w:tc>
          <w:tcPr>
            <w:tcW w:type="dxa" w:w="2379"/>
          </w:tcPr>
          <w:p>
            <w:r>
              <w:rPr>
                <w:sz w:val="19"/>
              </w:rPr>
            </w:r>
            <w:r>
              <w:rPr>
                <w:sz w:val="19"/>
              </w:rPr>
              <w:t>Integrar las ramas y resolver el conflicto</w:t>
            </w:r>
          </w:p>
        </w:tc>
        <w:tc>
          <w:tcPr>
            <w:tcW w:type="dxa" w:w="2379"/>
          </w:tcPr>
          <w:p>
            <w:r>
              <w:rPr>
                <w:sz w:val="19"/>
              </w:rPr>
            </w:r>
            <w:r>
              <w:rPr>
                <w:sz w:val="19"/>
              </w:rPr>
              <w:t>Rodrigo Aparcana</w:t>
            </w:r>
          </w:p>
        </w:tc>
        <w:tc>
          <w:tcPr>
            <w:tcW w:type="dxa" w:w="2379"/>
          </w:tcPr>
          <w:p>
            <w:r>
              <w:rPr>
                <w:sz w:val="19"/>
              </w:rPr>
            </w:r>
            <w:r>
              <w:rPr>
                <w:sz w:val="19"/>
              </w:rPr>
              <w:t>Finalizado</w:t>
            </w:r>
          </w:p>
        </w:tc>
      </w:tr>
      <w:tr>
        <w:tc>
          <w:tcPr>
            <w:tcW w:type="dxa" w:w="2379"/>
          </w:tcPr>
          <w:p>
            <w:r>
              <w:rPr>
                <w:sz w:val="19"/>
              </w:rPr>
            </w:r>
            <w:r>
              <w:rPr>
                <w:sz w:val="19"/>
              </w:rPr>
              <w:t>11</w:t>
            </w:r>
          </w:p>
        </w:tc>
        <w:tc>
          <w:tcPr>
            <w:tcW w:type="dxa" w:w="2379"/>
          </w:tcPr>
          <w:p>
            <w:r>
              <w:rPr>
                <w:sz w:val="19"/>
              </w:rPr>
            </w:r>
            <w:r>
              <w:rPr>
                <w:sz w:val="19"/>
              </w:rPr>
              <w:t>Probar las funcionalidades y registrar resultados</w:t>
            </w:r>
          </w:p>
        </w:tc>
        <w:tc>
          <w:tcPr>
            <w:tcW w:type="dxa" w:w="2379"/>
          </w:tcPr>
          <w:p>
            <w:r>
              <w:rPr>
                <w:sz w:val="19"/>
              </w:rPr>
            </w:r>
            <w:r>
              <w:rPr>
                <w:sz w:val="19"/>
              </w:rPr>
              <w:t>Arnold Díaz</w:t>
            </w:r>
          </w:p>
        </w:tc>
        <w:tc>
          <w:tcPr>
            <w:tcW w:type="dxa" w:w="2379"/>
          </w:tcPr>
          <w:p>
            <w:r>
              <w:rPr>
                <w:sz w:val="19"/>
              </w:rPr>
            </w:r>
            <w:r>
              <w:rPr>
                <w:sz w:val="19"/>
              </w:rPr>
              <w:t>Pendiente</w:t>
            </w:r>
          </w:p>
        </w:tc>
      </w:tr>
      <w:tr>
        <w:tc>
          <w:tcPr>
            <w:tcW w:type="dxa" w:w="2379"/>
          </w:tcPr>
          <w:p>
            <w:r>
              <w:rPr>
                <w:sz w:val="19"/>
              </w:rPr>
            </w:r>
            <w:r>
              <w:rPr>
                <w:sz w:val="19"/>
              </w:rPr>
              <w:t>12</w:t>
            </w:r>
          </w:p>
        </w:tc>
        <w:tc>
          <w:tcPr>
            <w:tcW w:type="dxa" w:w="2379"/>
          </w:tcPr>
          <w:p>
            <w:r>
              <w:rPr>
                <w:sz w:val="19"/>
              </w:rPr>
            </w:r>
            <w:r>
              <w:rPr>
                <w:sz w:val="19"/>
              </w:rPr>
              <w:t>Redactar la evolución funcional del informe</w:t>
            </w:r>
          </w:p>
        </w:tc>
        <w:tc>
          <w:tcPr>
            <w:tcW w:type="dxa" w:w="2379"/>
          </w:tcPr>
          <w:p>
            <w:r>
              <w:rPr>
                <w:sz w:val="19"/>
              </w:rPr>
            </w:r>
            <w:r>
              <w:rPr>
                <w:sz w:val="19"/>
              </w:rPr>
              <w:t>Giancarlo Ccahuana</w:t>
            </w:r>
          </w:p>
        </w:tc>
        <w:tc>
          <w:tcPr>
            <w:tcW w:type="dxa" w:w="2379"/>
          </w:tcPr>
          <w:p>
            <w:r>
              <w:rPr>
                <w:sz w:val="19"/>
              </w:rPr>
            </w:r>
            <w:r>
              <w:rPr>
                <w:sz w:val="19"/>
              </w:rPr>
              <w:t>Pendiente</w:t>
            </w:r>
          </w:p>
        </w:tc>
      </w:tr>
    </w:tbl>
    <w:p>
      <w:pPr>
        <w:spacing w:after="80"/>
      </w:pPr>
    </w:p>
    <w:p>
      <w:pPr>
        <w:jc w:val="both"/>
      </w:pPr>
      <w:r>
        <w:t xml:space="preserve">Las etiquetas utilizadas fueron </w:t>
      </w:r>
      <w:r>
        <w:rPr>
          <w:rFonts w:ascii="Consolas" w:hAnsi="Consolas"/>
          <w:color w:val="2E4A9E"/>
          <w:sz w:val="19"/>
        </w:rPr>
        <w:t>funcionalidad</w:t>
      </w:r>
      <w:r>
        <w:t xml:space="preserve">, </w:t>
      </w:r>
      <w:r>
        <w:rPr>
          <w:rFonts w:ascii="Consolas" w:hAnsi="Consolas"/>
          <w:color w:val="2E4A9E"/>
          <w:sz w:val="19"/>
        </w:rPr>
        <w:t>revision</w:t>
      </w:r>
      <w:r>
        <w:t xml:space="preserve">, </w:t>
      </w:r>
      <w:r>
        <w:rPr>
          <w:rFonts w:ascii="Consolas" w:hAnsi="Consolas"/>
          <w:color w:val="2E4A9E"/>
          <w:sz w:val="19"/>
        </w:rPr>
        <w:t>documentacion</w:t>
      </w:r>
      <w:r>
        <w:t xml:space="preserve"> y </w:t>
      </w:r>
      <w:r>
        <w:rPr>
          <w:rFonts w:ascii="Consolas" w:hAnsi="Consolas"/>
          <w:color w:val="2E4A9E"/>
          <w:sz w:val="19"/>
        </w:rPr>
        <w:t>gestion</w:t>
      </w:r>
      <w:r>
        <w:t xml:space="preserve">, todas bajo la etiqueta común </w:t>
      </w:r>
      <w:r>
        <w:rPr>
          <w:rFonts w:ascii="Consolas" w:hAnsi="Consolas"/>
          <w:color w:val="2E4A9E"/>
          <w:sz w:val="19"/>
        </w:rPr>
        <w:t>apf2</w:t>
      </w:r>
      <w:r>
        <w:t>.</w:t>
      </w:r>
    </w:p>
    <w:p>
      <w:pPr>
        <w:pStyle w:val="Heading3"/>
      </w:pPr>
      <w:r>
        <w:t>6.1. Relación entre una tarea del tablero y el cambio en el repositorio</w:t>
      </w:r>
    </w:p>
    <w:p>
      <w:pPr>
        <w:jc w:val="both"/>
      </w:pPr>
      <w:r>
        <w:t xml:space="preserve">Esta relación es trazable en los dos sentidos. Tomando como ejemplo la tarjeta </w:t>
      </w:r>
      <w:r>
        <w:rPr>
          <w:b/>
        </w:rPr>
        <w:t>#3, Catálogo de cursos con control de vacantes</w:t>
      </w:r>
      <w:r>
        <w:t>:</w:t>
      </w:r>
    </w:p>
    <w:p>
      <w:pPr>
        <w:pStyle w:val="ListNumber"/>
      </w:pPr>
      <w:r>
        <w:t>La tarjeta describe el objetivo y seis criterios de aceptación.</w:t>
      </w:r>
    </w:p>
    <w:p>
      <w:pPr>
        <w:pStyle w:val="ListNumber"/>
      </w:pPr>
      <w:r>
        <w:t xml:space="preserve">El trabajo se hizo en la rama </w:t>
      </w:r>
      <w:r>
        <w:rPr>
          <w:rFonts w:ascii="Consolas" w:hAnsi="Consolas"/>
          <w:color w:val="2E4A9E"/>
          <w:sz w:val="19"/>
        </w:rPr>
        <w:t>feature/catalogo-cursos</w:t>
      </w:r>
      <w:r>
        <w:t>.</w:t>
      </w:r>
    </w:p>
    <w:p>
      <w:pPr>
        <w:pStyle w:val="ListNumber"/>
      </w:pPr>
      <w:r>
        <w:t xml:space="preserve">Los commits </w:t>
      </w:r>
      <w:r>
        <w:rPr>
          <w:rFonts w:ascii="Consolas" w:hAnsi="Consolas"/>
          <w:color w:val="2E4A9E"/>
          <w:sz w:val="19"/>
        </w:rPr>
        <w:t>35cdac0</w:t>
      </w:r>
      <w:r>
        <w:t xml:space="preserve">, </w:t>
      </w:r>
      <w:r>
        <w:rPr>
          <w:rFonts w:ascii="Consolas" w:hAnsi="Consolas"/>
          <w:color w:val="2E4A9E"/>
          <w:sz w:val="19"/>
        </w:rPr>
        <w:t>e1074f8</w:t>
      </w:r>
      <w:r>
        <w:t xml:space="preserve"> y </w:t>
      </w:r>
      <w:r>
        <w:rPr>
          <w:rFonts w:ascii="Consolas" w:hAnsi="Consolas"/>
          <w:color w:val="2E4A9E"/>
          <w:sz w:val="19"/>
        </w:rPr>
        <w:t>5c61153</w:t>
      </w:r>
      <w:r>
        <w:t xml:space="preserve"> implementan esos criterios.</w:t>
      </w:r>
    </w:p>
    <w:p>
      <w:pPr>
        <w:pStyle w:val="ListNumber"/>
      </w:pPr>
      <w:r>
        <w:t>El Pull Request #2 agrupa esos commits y referencia la tarjeta.</w:t>
      </w:r>
    </w:p>
    <w:p>
      <w:pPr>
        <w:pStyle w:val="ListNumber"/>
      </w:pPr>
      <w:r>
        <w:t>Al integrarse el PR, la tarjeta se cerró con un comentario que enlaza los commits concretos.</w:t>
      </w:r>
    </w:p>
    <w:p>
      <w:pPr>
        <w:jc w:val="both"/>
      </w:pPr>
      <w:r>
        <w:t>La misma cadena existe para las otras dos funcionalidades: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fill="F4F6FB"/>
          </w:tcPr>
          <w:p>
            <w:r>
              <w:rPr>
                <w:b/>
                <w:color w:val="1A2A52"/>
                <w:sz w:val="19"/>
              </w:rPr>
            </w:r>
            <w:r>
              <w:rPr>
                <w:b/>
                <w:color w:val="1A2A52"/>
                <w:sz w:val="19"/>
              </w:rPr>
              <w:t>Tarjeta</w:t>
            </w:r>
          </w:p>
        </w:tc>
        <w:tc>
          <w:tcPr>
            <w:tcW w:type="dxa" w:w="2379"/>
            <w:shd w:val="clear" w:fill="F4F6FB"/>
          </w:tcPr>
          <w:p>
            <w:r>
              <w:rPr>
                <w:b/>
                <w:color w:val="1A2A52"/>
                <w:sz w:val="19"/>
              </w:rPr>
            </w:r>
            <w:r>
              <w:rPr>
                <w:b/>
                <w:color w:val="1A2A52"/>
                <w:sz w:val="19"/>
              </w:rPr>
              <w:t>Rama</w:t>
            </w:r>
          </w:p>
        </w:tc>
        <w:tc>
          <w:tcPr>
            <w:tcW w:type="dxa" w:w="2379"/>
            <w:shd w:val="clear" w:fill="F4F6FB"/>
          </w:tcPr>
          <w:p>
            <w:r>
              <w:rPr>
                <w:b/>
                <w:color w:val="1A2A52"/>
                <w:sz w:val="19"/>
              </w:rPr>
            </w:r>
            <w:r>
              <w:rPr>
                <w:b/>
                <w:color w:val="1A2A52"/>
                <w:sz w:val="19"/>
              </w:rPr>
              <w:t>Commits</w:t>
            </w:r>
          </w:p>
        </w:tc>
        <w:tc>
          <w:tcPr>
            <w:tcW w:type="dxa" w:w="2379"/>
            <w:shd w:val="clear" w:fill="F4F6FB"/>
          </w:tcPr>
          <w:p>
            <w:r>
              <w:rPr>
                <w:b/>
                <w:color w:val="1A2A52"/>
                <w:sz w:val="19"/>
              </w:rPr>
            </w:r>
            <w:r>
              <w:rPr>
                <w:b/>
                <w:color w:val="1A2A52"/>
                <w:sz w:val="19"/>
              </w:rPr>
              <w:t>Pull Request</w:t>
            </w:r>
          </w:p>
        </w:tc>
      </w:tr>
      <w:tr>
        <w:tc>
          <w:tcPr>
            <w:tcW w:type="dxa" w:w="2379"/>
          </w:tcPr>
          <w:p>
            <w:r>
              <w:rPr>
                <w:sz w:val="19"/>
              </w:rPr>
            </w:r>
            <w:r>
              <w:rPr>
                <w:sz w:val="19"/>
              </w:rPr>
              <w:t>#3</w:t>
            </w:r>
          </w:p>
        </w:tc>
        <w:tc>
          <w:tcPr>
            <w:tcW w:type="dxa" w:w="2379"/>
          </w:tcPr>
          <w:p>
            <w:r>
              <w:rPr>
                <w:sz w:val="19"/>
              </w:rPr>
            </w:r>
            <w:r>
              <w:rPr>
                <w:rFonts w:ascii="Consolas" w:hAnsi="Consolas"/>
                <w:color w:val="2E4A9E"/>
                <w:sz w:val="19"/>
              </w:rPr>
              <w:t>feature/catalogo-cursos</w:t>
            </w:r>
          </w:p>
        </w:tc>
        <w:tc>
          <w:tcPr>
            <w:tcW w:type="dxa" w:w="2379"/>
          </w:tcPr>
          <w:p>
            <w:r>
              <w:rPr>
                <w:sz w:val="19"/>
              </w:rPr>
            </w:r>
            <w:r>
              <w:rPr>
                <w:rFonts w:ascii="Consolas" w:hAnsi="Consolas"/>
                <w:color w:val="2E4A9E"/>
                <w:sz w:val="19"/>
              </w:rPr>
              <w:t>35cdac0</w:t>
            </w:r>
            <w:r>
              <w:rPr>
                <w:sz w:val="19"/>
              </w:rPr>
              <w:t xml:space="preserve">, </w:t>
            </w:r>
            <w:r>
              <w:rPr>
                <w:rFonts w:ascii="Consolas" w:hAnsi="Consolas"/>
                <w:color w:val="2E4A9E"/>
                <w:sz w:val="19"/>
              </w:rPr>
              <w:t>e1074f8</w:t>
            </w:r>
            <w:r>
              <w:rPr>
                <w:sz w:val="19"/>
              </w:rPr>
              <w:t xml:space="preserve">, </w:t>
            </w:r>
            <w:r>
              <w:rPr>
                <w:rFonts w:ascii="Consolas" w:hAnsi="Consolas"/>
                <w:color w:val="2E4A9E"/>
                <w:sz w:val="19"/>
              </w:rPr>
              <w:t>5c61153</w:t>
            </w:r>
          </w:p>
        </w:tc>
        <w:tc>
          <w:tcPr>
            <w:tcW w:type="dxa" w:w="2379"/>
          </w:tcPr>
          <w:p>
            <w:r>
              <w:rPr>
                <w:sz w:val="19"/>
              </w:rPr>
            </w:r>
            <w:r>
              <w:rPr>
                <w:sz w:val="19"/>
              </w:rPr>
              <w:t>#2</w:t>
            </w:r>
          </w:p>
        </w:tc>
      </w:tr>
      <w:tr>
        <w:tc>
          <w:tcPr>
            <w:tcW w:type="dxa" w:w="2379"/>
          </w:tcPr>
          <w:p>
            <w:r>
              <w:rPr>
                <w:sz w:val="19"/>
              </w:rPr>
            </w:r>
            <w:r>
              <w:rPr>
                <w:sz w:val="19"/>
              </w:rPr>
              <w:t>#4</w:t>
            </w:r>
          </w:p>
        </w:tc>
        <w:tc>
          <w:tcPr>
            <w:tcW w:type="dxa" w:w="2379"/>
          </w:tcPr>
          <w:p>
            <w:r>
              <w:rPr>
                <w:sz w:val="19"/>
              </w:rPr>
            </w:r>
            <w:r>
              <w:rPr>
                <w:rFonts w:ascii="Consolas" w:hAnsi="Consolas"/>
                <w:color w:val="2E4A9E"/>
                <w:sz w:val="19"/>
              </w:rPr>
              <w:t>feature/constancia-matricula</w:t>
            </w:r>
          </w:p>
        </w:tc>
        <w:tc>
          <w:tcPr>
            <w:tcW w:type="dxa" w:w="2379"/>
          </w:tcPr>
          <w:p>
            <w:r>
              <w:rPr>
                <w:sz w:val="19"/>
              </w:rPr>
            </w:r>
            <w:r>
              <w:rPr>
                <w:rFonts w:ascii="Consolas" w:hAnsi="Consolas"/>
                <w:color w:val="2E4A9E"/>
                <w:sz w:val="19"/>
              </w:rPr>
              <w:t>3c11fcd</w:t>
            </w:r>
            <w:r>
              <w:rPr>
                <w:sz w:val="19"/>
              </w:rPr>
              <w:t xml:space="preserve">, </w:t>
            </w:r>
            <w:r>
              <w:rPr>
                <w:rFonts w:ascii="Consolas" w:hAnsi="Consolas"/>
                <w:color w:val="2E4A9E"/>
                <w:sz w:val="19"/>
              </w:rPr>
              <w:t>55ca323</w:t>
            </w:r>
          </w:p>
        </w:tc>
        <w:tc>
          <w:tcPr>
            <w:tcW w:type="dxa" w:w="2379"/>
          </w:tcPr>
          <w:p>
            <w:r>
              <w:rPr>
                <w:sz w:val="19"/>
              </w:rPr>
            </w:r>
            <w:r>
              <w:rPr>
                <w:sz w:val="19"/>
              </w:rPr>
              <w:t>#13</w:t>
            </w:r>
          </w:p>
        </w:tc>
      </w:tr>
      <w:tr>
        <w:tc>
          <w:tcPr>
            <w:tcW w:type="dxa" w:w="2379"/>
          </w:tcPr>
          <w:p>
            <w:r>
              <w:rPr>
                <w:sz w:val="19"/>
              </w:rPr>
            </w:r>
            <w:r>
              <w:rPr>
                <w:sz w:val="19"/>
              </w:rPr>
              <w:t>#5</w:t>
            </w:r>
          </w:p>
        </w:tc>
        <w:tc>
          <w:tcPr>
            <w:tcW w:type="dxa" w:w="2379"/>
          </w:tcPr>
          <w:p>
            <w:r>
              <w:rPr>
                <w:sz w:val="19"/>
              </w:rPr>
            </w:r>
            <w:r>
              <w:rPr>
                <w:rFonts w:ascii="Consolas" w:hAnsi="Consolas"/>
                <w:color w:val="2E4A9E"/>
                <w:sz w:val="19"/>
              </w:rPr>
              <w:t>feature/ocupacion</w:t>
            </w:r>
          </w:p>
        </w:tc>
        <w:tc>
          <w:tcPr>
            <w:tcW w:type="dxa" w:w="2379"/>
          </w:tcPr>
          <w:p>
            <w:r>
              <w:rPr>
                <w:sz w:val="19"/>
              </w:rPr>
            </w:r>
            <w:r>
              <w:rPr>
                <w:rFonts w:ascii="Consolas" w:hAnsi="Consolas"/>
                <w:color w:val="2E4A9E"/>
                <w:sz w:val="19"/>
              </w:rPr>
              <w:t>deba101</w:t>
            </w:r>
            <w:r>
              <w:rPr>
                <w:sz w:val="19"/>
              </w:rPr>
              <w:t xml:space="preserve">, </w:t>
            </w:r>
            <w:r>
              <w:rPr>
                <w:rFonts w:ascii="Consolas" w:hAnsi="Consolas"/>
                <w:color w:val="2E4A9E"/>
                <w:sz w:val="19"/>
              </w:rPr>
              <w:t>d73c1c6</w:t>
            </w:r>
          </w:p>
        </w:tc>
        <w:tc>
          <w:tcPr>
            <w:tcW w:type="dxa" w:w="2379"/>
          </w:tcPr>
          <w:p>
            <w:r>
              <w:rPr>
                <w:sz w:val="19"/>
              </w:rPr>
            </w:r>
            <w:r>
              <w:rPr>
                <w:sz w:val="19"/>
              </w:rPr>
              <w:t>#14</w:t>
            </w:r>
          </w:p>
        </w:tc>
      </w:tr>
    </w:tbl>
    <w:p>
      <w:pPr>
        <w:spacing w:after="80"/>
      </w:pPr>
    </w:p>
    <w:p>
      <w:pPr>
        <w:pStyle w:val="Heading2"/>
      </w:pPr>
      <w:r>
        <w:t>7. Flujo de trabajo con ramas y Pull Requests</w:t>
      </w:r>
    </w:p>
    <w:p>
      <w:pPr>
        <w:jc w:val="both"/>
      </w:pPr>
      <w:r>
        <w:t xml:space="preserve">La convención de ramas se mantuvo del APF1: </w:t>
      </w:r>
      <w:r>
        <w:rPr>
          <w:rFonts w:ascii="Consolas" w:hAnsi="Consolas"/>
          <w:color w:val="2E4A9E"/>
          <w:sz w:val="19"/>
        </w:rPr>
        <w:t>main</w:t>
      </w:r>
      <w:r>
        <w:t xml:space="preserve"> como versión estable, </w:t>
      </w:r>
      <w:r>
        <w:rPr>
          <w:rFonts w:ascii="Consolas" w:hAnsi="Consolas"/>
          <w:color w:val="2E4A9E"/>
          <w:sz w:val="19"/>
        </w:rPr>
        <w:t>feature/&lt;nombre&gt;</w:t>
      </w:r>
      <w:r>
        <w:t xml:space="preserve"> para funcionalidades y </w:t>
      </w:r>
      <w:r>
        <w:rPr>
          <w:rFonts w:ascii="Consolas" w:hAnsi="Consolas"/>
          <w:color w:val="2E4A9E"/>
          <w:sz w:val="19"/>
        </w:rPr>
        <w:t>fix/&lt;nombre&gt;</w:t>
      </w:r>
      <w:r>
        <w:t xml:space="preserve"> para correcciones.</w:t>
      </w:r>
    </w:p>
    <w:p>
      <w:pPr>
        <w:jc w:val="both"/>
      </w:pPr>
      <w:r>
        <w:t xml:space="preserve">La diferencia con el avance anterior es que </w:t>
      </w:r>
      <w:r>
        <w:rPr>
          <w:b/>
        </w:rPr>
        <w:t>ninguna rama se integró directamente</w:t>
      </w:r>
      <w:r>
        <w:t>. Las tres pasaron por Pull Request:</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fill="F4F6FB"/>
          </w:tcPr>
          <w:p>
            <w:r>
              <w:rPr>
                <w:b/>
                <w:color w:val="1A2A52"/>
                <w:sz w:val="19"/>
              </w:rPr>
            </w:r>
            <w:r>
              <w:rPr>
                <w:b/>
                <w:color w:val="1A2A52"/>
                <w:sz w:val="19"/>
              </w:rPr>
              <w:t>PR</w:t>
            </w:r>
          </w:p>
        </w:tc>
        <w:tc>
          <w:tcPr>
            <w:tcW w:type="dxa" w:w="1586"/>
            <w:shd w:val="clear" w:fill="F4F6FB"/>
          </w:tcPr>
          <w:p>
            <w:r>
              <w:rPr>
                <w:b/>
                <w:color w:val="1A2A52"/>
                <w:sz w:val="19"/>
              </w:rPr>
            </w:r>
            <w:r>
              <w:rPr>
                <w:b/>
                <w:color w:val="1A2A52"/>
                <w:sz w:val="19"/>
              </w:rPr>
              <w:t>Título</w:t>
            </w:r>
          </w:p>
        </w:tc>
        <w:tc>
          <w:tcPr>
            <w:tcW w:type="dxa" w:w="1586"/>
            <w:shd w:val="clear" w:fill="F4F6FB"/>
          </w:tcPr>
          <w:p>
            <w:r>
              <w:rPr>
                <w:b/>
                <w:color w:val="1A2A52"/>
                <w:sz w:val="19"/>
              </w:rPr>
            </w:r>
            <w:r>
              <w:rPr>
                <w:b/>
                <w:color w:val="1A2A52"/>
                <w:sz w:val="19"/>
              </w:rPr>
              <w:t>Autor</w:t>
            </w:r>
          </w:p>
        </w:tc>
        <w:tc>
          <w:tcPr>
            <w:tcW w:type="dxa" w:w="1586"/>
            <w:shd w:val="clear" w:fill="F4F6FB"/>
          </w:tcPr>
          <w:p>
            <w:r>
              <w:rPr>
                <w:b/>
                <w:color w:val="1A2A52"/>
                <w:sz w:val="19"/>
              </w:rPr>
            </w:r>
            <w:r>
              <w:rPr>
                <w:b/>
                <w:color w:val="1A2A52"/>
                <w:sz w:val="19"/>
              </w:rPr>
              <w:t>Creado</w:t>
            </w:r>
          </w:p>
        </w:tc>
        <w:tc>
          <w:tcPr>
            <w:tcW w:type="dxa" w:w="1586"/>
            <w:shd w:val="clear" w:fill="F4F6FB"/>
          </w:tcPr>
          <w:p>
            <w:r>
              <w:rPr>
                <w:b/>
                <w:color w:val="1A2A52"/>
                <w:sz w:val="19"/>
              </w:rPr>
            </w:r>
            <w:r>
              <w:rPr>
                <w:b/>
                <w:color w:val="1A2A52"/>
                <w:sz w:val="19"/>
              </w:rPr>
              <w:t>Integrado</w:t>
            </w:r>
          </w:p>
        </w:tc>
        <w:tc>
          <w:tcPr>
            <w:tcW w:type="dxa" w:w="1586"/>
            <w:shd w:val="clear" w:fill="F4F6FB"/>
          </w:tcPr>
          <w:p>
            <w:r>
              <w:rPr>
                <w:b/>
                <w:color w:val="1A2A52"/>
                <w:sz w:val="19"/>
              </w:rPr>
            </w:r>
            <w:r>
              <w:rPr>
                <w:b/>
                <w:color w:val="1A2A52"/>
                <w:sz w:val="19"/>
              </w:rPr>
              <w:t>Líneas</w:t>
            </w:r>
          </w:p>
        </w:tc>
      </w:tr>
      <w:tr>
        <w:tc>
          <w:tcPr>
            <w:tcW w:type="dxa" w:w="1586"/>
          </w:tcPr>
          <w:p>
            <w:r>
              <w:rPr>
                <w:sz w:val="19"/>
              </w:rPr>
            </w:r>
            <w:r>
              <w:rPr>
                <w:sz w:val="19"/>
              </w:rPr>
              <w:t>#2</w:t>
            </w:r>
          </w:p>
        </w:tc>
        <w:tc>
          <w:tcPr>
            <w:tcW w:type="dxa" w:w="1586"/>
          </w:tcPr>
          <w:p>
            <w:r>
              <w:rPr>
                <w:sz w:val="19"/>
              </w:rPr>
            </w:r>
            <w:r>
              <w:rPr>
                <w:sz w:val="19"/>
              </w:rPr>
              <w:t>Agregar catálogo de cursos con control de vacantes</w:t>
            </w:r>
          </w:p>
        </w:tc>
        <w:tc>
          <w:tcPr>
            <w:tcW w:type="dxa" w:w="1586"/>
          </w:tcPr>
          <w:p>
            <w:r>
              <w:rPr>
                <w:sz w:val="19"/>
              </w:rPr>
            </w:r>
            <w:r>
              <w:rPr>
                <w:sz w:val="19"/>
              </w:rPr>
              <w:t>Rodrigo Aparcana</w:t>
            </w:r>
          </w:p>
        </w:tc>
        <w:tc>
          <w:tcPr>
            <w:tcW w:type="dxa" w:w="1586"/>
          </w:tcPr>
          <w:p>
            <w:r>
              <w:rPr>
                <w:sz w:val="19"/>
              </w:rPr>
            </w:r>
            <w:r>
              <w:rPr>
                <w:sz w:val="19"/>
              </w:rPr>
              <w:t>21/10</w:t>
            </w:r>
          </w:p>
        </w:tc>
        <w:tc>
          <w:tcPr>
            <w:tcW w:type="dxa" w:w="1586"/>
          </w:tcPr>
          <w:p>
            <w:r>
              <w:rPr>
                <w:sz w:val="19"/>
              </w:rPr>
            </w:r>
            <w:r>
              <w:rPr>
                <w:sz w:val="19"/>
              </w:rPr>
              <w:t>24/10</w:t>
            </w:r>
          </w:p>
        </w:tc>
        <w:tc>
          <w:tcPr>
            <w:tcW w:type="dxa" w:w="1586"/>
          </w:tcPr>
          <w:p>
            <w:r>
              <w:rPr>
                <w:sz w:val="19"/>
              </w:rPr>
            </w:r>
            <w:r>
              <w:rPr>
                <w:sz w:val="19"/>
              </w:rPr>
              <w:t>+488 / −11</w:t>
            </w:r>
          </w:p>
        </w:tc>
      </w:tr>
      <w:tr>
        <w:tc>
          <w:tcPr>
            <w:tcW w:type="dxa" w:w="1586"/>
          </w:tcPr>
          <w:p>
            <w:r>
              <w:rPr>
                <w:sz w:val="19"/>
              </w:rPr>
            </w:r>
            <w:r>
              <w:rPr>
                <w:sz w:val="19"/>
              </w:rPr>
              <w:t>#13</w:t>
            </w:r>
          </w:p>
        </w:tc>
        <w:tc>
          <w:tcPr>
            <w:tcW w:type="dxa" w:w="1586"/>
          </w:tcPr>
          <w:p>
            <w:r>
              <w:rPr>
                <w:sz w:val="19"/>
              </w:rPr>
            </w:r>
            <w:r>
              <w:rPr>
                <w:sz w:val="19"/>
              </w:rPr>
              <w:t>Agregar constancia de matrícula imprimible</w:t>
            </w:r>
          </w:p>
        </w:tc>
        <w:tc>
          <w:tcPr>
            <w:tcW w:type="dxa" w:w="1586"/>
          </w:tcPr>
          <w:p>
            <w:r>
              <w:rPr>
                <w:sz w:val="19"/>
              </w:rPr>
            </w:r>
            <w:r>
              <w:rPr>
                <w:sz w:val="19"/>
              </w:rPr>
              <w:t>Giancarlo Ccahuana</w:t>
            </w:r>
          </w:p>
        </w:tc>
        <w:tc>
          <w:tcPr>
            <w:tcW w:type="dxa" w:w="1586"/>
          </w:tcPr>
          <w:p>
            <w:r>
              <w:rPr>
                <w:sz w:val="19"/>
              </w:rPr>
            </w:r>
            <w:r>
              <w:rPr>
                <w:sz w:val="19"/>
              </w:rPr>
              <w:t>23/10</w:t>
            </w:r>
          </w:p>
        </w:tc>
        <w:tc>
          <w:tcPr>
            <w:tcW w:type="dxa" w:w="1586"/>
          </w:tcPr>
          <w:p>
            <w:r>
              <w:rPr>
                <w:sz w:val="19"/>
              </w:rPr>
            </w:r>
            <w:r>
              <w:rPr>
                <w:sz w:val="19"/>
              </w:rPr>
              <w:t>24/10</w:t>
            </w:r>
          </w:p>
        </w:tc>
        <w:tc>
          <w:tcPr>
            <w:tcW w:type="dxa" w:w="1586"/>
          </w:tcPr>
          <w:p>
            <w:r>
              <w:rPr>
                <w:sz w:val="19"/>
              </w:rPr>
            </w:r>
            <w:r>
              <w:rPr>
                <w:sz w:val="19"/>
              </w:rPr>
              <w:t>+647 / −5</w:t>
            </w:r>
          </w:p>
        </w:tc>
      </w:tr>
      <w:tr>
        <w:tc>
          <w:tcPr>
            <w:tcW w:type="dxa" w:w="1586"/>
          </w:tcPr>
          <w:p>
            <w:r>
              <w:rPr>
                <w:sz w:val="19"/>
              </w:rPr>
            </w:r>
            <w:r>
              <w:rPr>
                <w:sz w:val="19"/>
              </w:rPr>
              <w:t>#14</w:t>
            </w:r>
          </w:p>
        </w:tc>
        <w:tc>
          <w:tcPr>
            <w:tcW w:type="dxa" w:w="1586"/>
          </w:tcPr>
          <w:p>
            <w:r>
              <w:rPr>
                <w:sz w:val="19"/>
              </w:rPr>
            </w:r>
            <w:r>
              <w:rPr>
                <w:sz w:val="19"/>
              </w:rPr>
              <w:t>Agregar panel de ocupación por curso</w:t>
            </w:r>
          </w:p>
        </w:tc>
        <w:tc>
          <w:tcPr>
            <w:tcW w:type="dxa" w:w="1586"/>
          </w:tcPr>
          <w:p>
            <w:r>
              <w:rPr>
                <w:sz w:val="19"/>
              </w:rPr>
            </w:r>
            <w:r>
              <w:rPr>
                <w:sz w:val="19"/>
              </w:rPr>
              <w:t>Arnold Díaz</w:t>
            </w:r>
          </w:p>
        </w:tc>
        <w:tc>
          <w:tcPr>
            <w:tcW w:type="dxa" w:w="1586"/>
          </w:tcPr>
          <w:p>
            <w:r>
              <w:rPr>
                <w:sz w:val="19"/>
              </w:rPr>
            </w:r>
            <w:r>
              <w:rPr>
                <w:sz w:val="19"/>
              </w:rPr>
              <w:t>24/10</w:t>
            </w:r>
          </w:p>
        </w:tc>
        <w:tc>
          <w:tcPr>
            <w:tcW w:type="dxa" w:w="1586"/>
          </w:tcPr>
          <w:p>
            <w:r>
              <w:rPr>
                <w:sz w:val="19"/>
              </w:rPr>
            </w:r>
            <w:r>
              <w:rPr>
                <w:sz w:val="19"/>
              </w:rPr>
              <w:t>24/10</w:t>
            </w:r>
          </w:p>
        </w:tc>
        <w:tc>
          <w:tcPr>
            <w:tcW w:type="dxa" w:w="1586"/>
          </w:tcPr>
          <w:p>
            <w:r>
              <w:rPr>
                <w:sz w:val="19"/>
              </w:rPr>
            </w:r>
            <w:r>
              <w:rPr>
                <w:sz w:val="19"/>
              </w:rPr>
              <w:t>+264 / −2</w:t>
            </w:r>
          </w:p>
        </w:tc>
      </w:tr>
    </w:tbl>
    <w:p>
      <w:pPr>
        <w:spacing w:after="80"/>
      </w:pPr>
    </w:p>
    <w:p>
      <w:pPr>
        <w:jc w:val="both"/>
      </w:pPr>
      <w:r>
        <w:t>Las fusiones se hicieron conservando el punto de integración, de modo que el gráfico del historial muestra explícitamente dónde entró cada funcionalidad.</w:t>
      </w:r>
    </w:p>
    <w:p>
      <w:pPr>
        <w:ind w:left="454"/>
      </w:pPr>
      <w:r>
        <w:rPr>
          <w:b/>
          <w:i/>
          <w:color w:val="555555"/>
        </w:rPr>
        <w:t>Nota sobre el PR #14.</w:t>
      </w:r>
      <w:r>
        <w:rPr>
          <w:i/>
          <w:color w:val="555555"/>
        </w:rPr>
        <w:t xml:space="preserve"> Los commits del panel de ocupación son de Arnold Díaz, pero el Pull Request fue abierto por Rodrigo Aparcana para poder cerrar la integración dentro del plazo del avance. Queda registrado aquí por transparencia.</w:t>
      </w:r>
    </w:p>
    <w:p>
      <w:pPr>
        <w:pStyle w:val="Heading2"/>
      </w:pPr>
      <w:r>
        <w:t>8. Revisión de código antes de integrar</w:t>
      </w:r>
    </w:p>
    <w:p>
      <w:pPr>
        <w:jc w:val="both"/>
      </w:pPr>
      <w:r>
        <w:t>Este es el punto donde el avance produjo su evidencia más útil.</w:t>
      </w:r>
    </w:p>
    <w:p>
      <w:pPr>
        <w:jc w:val="both"/>
      </w:pPr>
      <w:r>
        <w:t xml:space="preserve">El </w:t>
      </w:r>
      <w:r>
        <w:rPr>
          <w:b/>
        </w:rPr>
        <w:t>Pull Request #2</w:t>
      </w:r>
      <w:r>
        <w:t xml:space="preserve"> fue revisado por Giancarlo Ccahuana, que lo aprobó pero dejó </w:t>
      </w:r>
      <w:r>
        <w:rPr>
          <w:b/>
        </w:rPr>
        <w:t>dos comentarios sobre líneas concretas del código</w:t>
      </w:r>
      <w:r>
        <w:t>. Los dos resultaron ser defectos reales:</w:t>
      </w:r>
    </w:p>
    <w:p>
      <w:pPr>
        <w:jc w:val="both"/>
      </w:pPr>
      <w:r>
        <w:rPr>
          <w:b/>
        </w:rPr>
        <w:t>Primera observación</w:t>
      </w:r>
      <w:r>
        <w:t xml:space="preserve">, sobre </w:t>
      </w:r>
      <w:r>
        <w:rPr>
          <w:rFonts w:ascii="Consolas" w:hAnsi="Consolas"/>
          <w:color w:val="2E4A9E"/>
          <w:sz w:val="19"/>
        </w:rPr>
        <w:t>js/cursos.js</w:t>
      </w:r>
      <w:r>
        <w:t>. Al renombrar un curso desde el catálogo, las matrículas ya registradas seguían mostrando el nombre anterior. La causa era que cada matrícula guarda una copia del nombre del curso —para que el listado, el CSV y la constancia no dependan de que el curso siga existiendo en el catálogo— y el código solo propagaba el cambio de código, no el de nombre.</w:t>
      </w:r>
    </w:p>
    <w:p>
      <w:pPr>
        <w:jc w:val="both"/>
      </w:pPr>
      <w:r>
        <w:rPr>
          <w:b/>
        </w:rPr>
        <w:t>Segunda observación</w:t>
      </w:r>
      <w:r>
        <w:t xml:space="preserve">, sobre </w:t>
      </w:r>
      <w:r>
        <w:rPr>
          <w:rFonts w:ascii="Consolas" w:hAnsi="Consolas"/>
          <w:color w:val="2E4A9E"/>
          <w:sz w:val="19"/>
        </w:rPr>
        <w:t>js/app.js</w:t>
      </w:r>
      <w:r>
        <w:t>. La validación de matrículas duplicadas comparaba el curso por su nombre y no por su código. Como dos carreras —o dos ciclos de la misma carrera— pueden ofrecer cursos que se llaman igual, un estudiante que se matriculara en «Práctica Preprofesional» del ciclo IX quedaba bloqueado al intentar matricularse en la del ciclo X, siendo dos cursos distintos.</w:t>
      </w:r>
    </w:p>
    <w:p>
      <w:pPr>
        <w:jc w:val="both"/>
      </w:pPr>
      <w:r>
        <w:t xml:space="preserve">Ambos defectos se corrigieron en el commit </w:t>
      </w:r>
      <w:r>
        <w:rPr>
          <w:rFonts w:ascii="Consolas" w:hAnsi="Consolas"/>
          <w:color w:val="2E4A9E"/>
          <w:sz w:val="19"/>
        </w:rPr>
        <w:t>5c61153</w:t>
      </w:r>
      <w:r>
        <w:t xml:space="preserve"> antes de integrar el PR, y se respondió en el hilo de cada comentario explicando la corrección y cómo se verificó.</w:t>
      </w:r>
    </w:p>
    <w:p>
      <w:pPr>
        <w:jc w:val="both"/>
      </w:pPr>
      <w:r>
        <w:t xml:space="preserve">El </w:t>
      </w:r>
      <w:r>
        <w:rPr>
          <w:b/>
        </w:rPr>
        <w:t>Pull Request #13</w:t>
      </w:r>
      <w:r>
        <w:t xml:space="preserve"> fue revisado por Rodrigo Aparcana, que verificó en navegador el llenado de los nueve campos de la constancia, el comportamiento al imprimir y el cierre de la vista, y dejó una observación menor sobre el formato del archivo.</w:t>
      </w:r>
    </w:p>
    <w:p>
      <w:pPr>
        <w:jc w:val="both"/>
      </w:pPr>
      <w:r>
        <w:t>La conclusión que el equipo extrae de esto es que la revisión de código no fue un trámite para cumplir con el requisito: encontró errores que el autor del código no había visto, y que no se habrían detectado probando la aplicación por encima.</w:t>
      </w:r>
    </w:p>
    <w:p>
      <w:pPr>
        <w:pStyle w:val="Heading2"/>
      </w:pPr>
      <w:r>
        <w:t>9. Conflicto de fusión y su resolución</w:t>
      </w:r>
    </w:p>
    <w:p>
      <w:pPr>
        <w:jc w:val="both"/>
      </w:pPr>
      <w:r>
        <w:t>Al integrar la tercera rama se produjo un conflicto real, no provocado artificialmente.</w:t>
      </w:r>
    </w:p>
    <w:p>
      <w:pPr>
        <w:jc w:val="both"/>
      </w:pPr>
      <w:r>
        <w:rPr>
          <w:b/>
        </w:rPr>
        <w:t>Cómo se originó.</w:t>
      </w:r>
      <w:r>
        <w:t xml:space="preserve"> La rama </w:t>
      </w:r>
      <w:r>
        <w:rPr>
          <w:rFonts w:ascii="Consolas" w:hAnsi="Consolas"/>
          <w:color w:val="2E4A9E"/>
          <w:sz w:val="19"/>
        </w:rPr>
        <w:t>feature/ocupacion</w:t>
      </w:r>
      <w:r>
        <w:t xml:space="preserve"> se creó a partir de </w:t>
      </w:r>
      <w:r>
        <w:rPr>
          <w:rFonts w:ascii="Consolas" w:hAnsi="Consolas"/>
          <w:color w:val="2E4A9E"/>
          <w:sz w:val="19"/>
        </w:rPr>
        <w:t>feature/catalogo-cursos</w:t>
      </w:r>
      <w:r>
        <w:t xml:space="preserve">, por lo que no contenía el trabajo de la constancia. Mientras tanto, </w:t>
      </w:r>
      <w:r>
        <w:rPr>
          <w:rFonts w:ascii="Consolas" w:hAnsi="Consolas"/>
          <w:color w:val="2E4A9E"/>
          <w:sz w:val="19"/>
        </w:rPr>
        <w:t>main</w:t>
      </w:r>
      <w:r>
        <w:t xml:space="preserve"> ya había integrado el PR #13. Ambas funcionalidades agregaron reglas nuevas al final de </w:t>
      </w:r>
      <w:r>
        <w:rPr>
          <w:rFonts w:ascii="Consolas" w:hAnsi="Consolas"/>
          <w:color w:val="2E4A9E"/>
          <w:sz w:val="19"/>
        </w:rPr>
        <w:t>css/estilos.css</w:t>
      </w:r>
      <w:r>
        <w:t>, en el mismo punto del archivo: justo después de la última regla del catálogo de cursos. Git no tiene forma de decidir cuál de los dos bloques va primero y detuvo la fusión.</w:t>
      </w:r>
    </w:p>
    <w:p>
      <w:pPr>
        <w:jc w:val="both"/>
      </w:pPr>
      <w:r>
        <w:rPr>
          <w:b/>
        </w:rPr>
        <w:t>Criterio de resolución.</w:t>
      </w:r>
      <w:r>
        <w:t xml:space="preserve"> Los dos bloques son necesarios y no se superponen: uno da estilo a la constancia imprimible y el otro a las barras de ocupación. No había nada que elegir ni descartar, solo que ordenar. Se conservaron ambos, dejando primero el de la constancia —que ya estaba en </w:t>
      </w:r>
      <w:r>
        <w:rPr>
          <w:rFonts w:ascii="Consolas" w:hAnsi="Consolas"/>
          <w:color w:val="2E4A9E"/>
          <w:sz w:val="19"/>
        </w:rPr>
        <w:t>main</w:t>
      </w:r>
      <w:r>
        <w:t>— y después el de ocupación, de modo que el archivo mantuviera el mismo orden en que las funcionalidades se integraron.</w:t>
      </w:r>
    </w:p>
    <w:p>
      <w:pPr>
        <w:jc w:val="both"/>
      </w:pPr>
      <w:r>
        <w:rPr>
          <w:b/>
        </w:rPr>
        <w:t>Un error cometido durante la resolución.</w:t>
      </w:r>
      <w:r>
        <w:t xml:space="preserve"> En un primer intento se perdió la llave de cierre del bloque </w:t>
      </w:r>
      <w:r>
        <w:rPr>
          <w:rFonts w:ascii="Consolas" w:hAnsi="Consolas"/>
          <w:color w:val="2E4A9E"/>
          <w:sz w:val="19"/>
        </w:rPr>
        <w:t>@media print</w:t>
      </w:r>
      <w:r>
        <w:t xml:space="preserve"> de la constancia, lo que dejó todas las reglas del panel de ocupación anidadas dentro de la regla de impresión. El efecto era sutil: la aplicación no mostraba ningún error, pero las barras de ocupación perdían el color en pantalla y solo se habrían visto al imprimir. El problema se detectó al volver a probar la aplicación en el navegador, no al leer el código.</w:t>
      </w:r>
    </w:p>
    <w:p>
      <w:pPr>
        <w:jc w:val="both"/>
      </w:pPr>
      <w:r>
        <w:t xml:space="preserve">La resolución definitiva se rehízo de forma verificable: se tomó el archivo de </w:t>
      </w:r>
      <w:r>
        <w:rPr>
          <w:rFonts w:ascii="Consolas" w:hAnsi="Consolas"/>
          <w:color w:val="2E4A9E"/>
          <w:sz w:val="19"/>
        </w:rPr>
        <w:t>main</w:t>
      </w:r>
      <w:r>
        <w:t xml:space="preserve"> como base, se anexó únicamente el bloque del panel de ocupación y se comprobó que el número de llaves de apertura y de cierre coincidiera (96 y 96) y que el bloque anexado no quedara anidado dentro de ninguna regla previa.</w:t>
      </w:r>
    </w:p>
    <w:p>
      <w:pPr>
        <w:jc w:val="both"/>
      </w:pPr>
      <w:r>
        <w:rPr>
          <w:b/>
        </w:rPr>
        <w:t>Una corrección adicional.</w:t>
      </w:r>
      <w:r>
        <w:t xml:space="preserve"> Al integrar se detectó que la rama de ocupación cargaba </w:t>
      </w:r>
      <w:r>
        <w:rPr>
          <w:rFonts w:ascii="Consolas" w:hAnsi="Consolas"/>
          <w:color w:val="2E4A9E"/>
          <w:sz w:val="19"/>
        </w:rPr>
        <w:t>js/ocupacion.js</w:t>
      </w:r>
      <w:r>
        <w:t xml:space="preserve"> antes que </w:t>
      </w:r>
      <w:r>
        <w:rPr>
          <w:rFonts w:ascii="Consolas" w:hAnsi="Consolas"/>
          <w:color w:val="2E4A9E"/>
          <w:sz w:val="19"/>
        </w:rPr>
        <w:t>js/cursos.js</w:t>
      </w:r>
      <w:r>
        <w:t>, del que depende. Funcionaba por casualidad, porque en la carga inicial ese archivo no referencia nada del catálogo —solo al pulsar el botón, cuando todo ya está definido—, pero el orden correcto es por dependencia:</w:t>
      </w:r>
    </w:p>
    <w:p>
      <w:pPr>
        <w:spacing w:before="120"/>
        <w:ind w:left="340"/>
      </w:pPr>
      <w:r>
        <w:rPr>
          <w:rFonts w:ascii="Consolas" w:hAnsi="Consolas"/>
          <w:color w:val="1A2A52"/>
          <w:sz w:val="18"/>
        </w:rPr>
        <w:t>app.js  -&gt;  cursos.js  -&gt;  constancia.js  -&gt;  ocupacion.js</w:t>
      </w:r>
    </w:p>
    <w:p>
      <w:pPr>
        <w:jc w:val="both"/>
      </w:pPr>
      <w:r>
        <w:t xml:space="preserve">La evidencia completa del conflicto está en </w:t>
      </w:r>
      <w:r>
        <w:rPr>
          <w:rFonts w:ascii="Consolas" w:hAnsi="Consolas"/>
          <w:color w:val="2E4A9E"/>
          <w:sz w:val="19"/>
        </w:rPr>
        <w:t>docs/evidencias-apf2/</w:t>
      </w:r>
      <w:r>
        <w:t xml:space="preserve">, en los archivos </w:t>
      </w:r>
      <w:r>
        <w:rPr>
          <w:rFonts w:ascii="Consolas" w:hAnsi="Consolas"/>
          <w:color w:val="2E4A9E"/>
          <w:sz w:val="19"/>
        </w:rPr>
        <w:t>conflicto-01-deteccion.txt</w:t>
      </w:r>
      <w:r>
        <w:t xml:space="preserve">, </w:t>
      </w:r>
      <w:r>
        <w:rPr>
          <w:rFonts w:ascii="Consolas" w:hAnsi="Consolas"/>
          <w:color w:val="2E4A9E"/>
          <w:sz w:val="19"/>
        </w:rPr>
        <w:t>conflicto-02-marcadores.txt</w:t>
      </w:r>
      <w:r>
        <w:t xml:space="preserve"> y </w:t>
      </w:r>
      <w:r>
        <w:rPr>
          <w:rFonts w:ascii="Consolas" w:hAnsi="Consolas"/>
          <w:color w:val="2E4A9E"/>
          <w:sz w:val="19"/>
        </w:rPr>
        <w:t>conflicto-03-resolucion.txt</w:t>
      </w:r>
      <w:r>
        <w:t>.</w:t>
      </w:r>
    </w:p>
    <w:p>
      <w:pPr>
        <w:pStyle w:val="Heading2"/>
      </w:pPr>
      <w:r>
        <w:t>10. Release del avance</w:t>
      </w:r>
    </w:p>
    <w:p>
      <w:pPr>
        <w:jc w:val="both"/>
      </w:pPr>
      <w:r>
        <w:t xml:space="preserve">Con las tres funcionalidades integradas en </w:t>
      </w:r>
      <w:r>
        <w:rPr>
          <w:rFonts w:ascii="Consolas" w:hAnsi="Consolas"/>
          <w:color w:val="2E4A9E"/>
          <w:sz w:val="19"/>
        </w:rPr>
        <w:t>main</w:t>
      </w:r>
      <w:r>
        <w:t xml:space="preserve"> se publicó la versión </w:t>
      </w:r>
      <w:r>
        <w:rPr>
          <w:b/>
        </w:rPr>
        <w:t>v2.0.0</w:t>
      </w:r>
      <w:r>
        <w:t>, etiquetada sobre el commit de integración del PR #14.</w:t>
      </w:r>
    </w:p>
    <w:p>
      <w:pPr>
        <w:jc w:val="both"/>
      </w:pPr>
      <w:r>
        <w:t xml:space="preserve">Se eligió el salto de versión mayor porque el avance introduce un cambio que rompe la compatibilidad con la versión anterior: el curso de una matrícula pasó de ser texto libre a una referencia al catálogo. Las matrículas creadas con la versión </w:t>
      </w:r>
      <w:r>
        <w:rPr>
          <w:rFonts w:ascii="Consolas" w:hAnsi="Consolas"/>
          <w:color w:val="2E4A9E"/>
          <w:sz w:val="19"/>
        </w:rPr>
        <w:t>v1</w:t>
      </w:r>
      <w:r>
        <w:t xml:space="preserve"> siguen funcionando —el código las reconoce comparando nombre, carrera y ciclo— pero el formato de los datos cambió.</w:t>
      </w:r>
    </w:p>
    <w:p>
      <w:pPr>
        <w:pStyle w:val="Heading2"/>
      </w:pPr>
      <w:r>
        <w:t>11. Verificación funcional</w:t>
      </w:r>
    </w:p>
    <w:p>
      <w:pPr>
        <w:jc w:val="both"/>
      </w:pPr>
      <w:r>
        <w:t xml:space="preserve">Las tres funcionalidades se probaron en conjunto sobre la rama integrada, ejecutando la aplicación con </w:t>
      </w:r>
      <w:r>
        <w:rPr>
          <w:rFonts w:ascii="Consolas" w:hAnsi="Consolas"/>
          <w:color w:val="2E4A9E"/>
          <w:sz w:val="19"/>
        </w:rPr>
        <w:t>python -m http.server</w:t>
      </w:r>
      <w:r>
        <w:t xml:space="preserve"> y operándola en el navegador.</w:t>
      </w:r>
    </w:p>
    <w:tbl>
      <w:tblPr>
        <w:tblStyle w:val="TableGrid"/>
        <w:tblW w:type="auto" w:w="0"/>
        <w:jc w:val="center"/>
        <w:tblLook w:firstColumn="1" w:firstRow="1" w:lastColumn="0" w:lastRow="0" w:noHBand="0" w:noVBand="1" w:val="04A0"/>
      </w:tblPr>
      <w:tblGrid>
        <w:gridCol w:w="4759"/>
        <w:gridCol w:w="4759"/>
      </w:tblGrid>
      <w:tr>
        <w:tc>
          <w:tcPr>
            <w:tcW w:type="dxa" w:w="4759"/>
            <w:shd w:val="clear" w:fill="F4F6FB"/>
          </w:tcPr>
          <w:p>
            <w:r>
              <w:rPr>
                <w:b/>
                <w:color w:val="1A2A52"/>
                <w:sz w:val="19"/>
              </w:rPr>
            </w:r>
            <w:r>
              <w:rPr>
                <w:b/>
                <w:color w:val="1A2A52"/>
                <w:sz w:val="19"/>
              </w:rPr>
              <w:t>Comprobación</w:t>
            </w:r>
          </w:p>
        </w:tc>
        <w:tc>
          <w:tcPr>
            <w:tcW w:type="dxa" w:w="4759"/>
            <w:shd w:val="clear" w:fill="F4F6FB"/>
          </w:tcPr>
          <w:p>
            <w:r>
              <w:rPr>
                <w:b/>
                <w:color w:val="1A2A52"/>
                <w:sz w:val="19"/>
              </w:rPr>
            </w:r>
            <w:r>
              <w:rPr>
                <w:b/>
                <w:color w:val="1A2A52"/>
                <w:sz w:val="19"/>
              </w:rPr>
              <w:t>Resultado</w:t>
            </w:r>
          </w:p>
        </w:tc>
      </w:tr>
      <w:tr>
        <w:tc>
          <w:tcPr>
            <w:tcW w:type="dxa" w:w="4759"/>
          </w:tcPr>
          <w:p>
            <w:r>
              <w:rPr>
                <w:sz w:val="19"/>
              </w:rPr>
            </w:r>
            <w:r>
              <w:rPr>
                <w:sz w:val="19"/>
              </w:rPr>
              <w:t>Catálogo intacto tras registrar matrículas</w:t>
            </w:r>
          </w:p>
        </w:tc>
        <w:tc>
          <w:tcPr>
            <w:tcW w:type="dxa" w:w="4759"/>
          </w:tcPr>
          <w:p>
            <w:r>
              <w:rPr>
                <w:sz w:val="19"/>
              </w:rPr>
            </w:r>
            <w:r>
              <w:rPr>
                <w:sz w:val="19"/>
              </w:rPr>
              <w:t>4 cursos</w:t>
            </w:r>
          </w:p>
        </w:tc>
      </w:tr>
      <w:tr>
        <w:tc>
          <w:tcPr>
            <w:tcW w:type="dxa" w:w="4759"/>
          </w:tcPr>
          <w:p>
            <w:r>
              <w:rPr>
                <w:sz w:val="19"/>
              </w:rPr>
            </w:r>
            <w:r>
              <w:rPr>
                <w:sz w:val="19"/>
              </w:rPr>
              <w:t>Ocupación reflejada en el catálogo</w:t>
            </w:r>
          </w:p>
        </w:tc>
        <w:tc>
          <w:tcPr>
            <w:tcW w:type="dxa" w:w="4759"/>
          </w:tcPr>
          <w:p>
            <w:r>
              <w:rPr>
                <w:sz w:val="19"/>
              </w:rPr>
            </w:r>
            <w:r>
              <w:rPr>
                <w:rFonts w:ascii="Consolas" w:hAnsi="Consolas"/>
                <w:color w:val="2E4A9E"/>
                <w:sz w:val="19"/>
              </w:rPr>
              <w:t>1 / 30</w:t>
            </w:r>
          </w:p>
        </w:tc>
      </w:tr>
      <w:tr>
        <w:tc>
          <w:tcPr>
            <w:tcW w:type="dxa" w:w="4759"/>
          </w:tcPr>
          <w:p>
            <w:r>
              <w:rPr>
                <w:sz w:val="19"/>
              </w:rPr>
            </w:r>
            <w:r>
              <w:rPr>
                <w:sz w:val="19"/>
              </w:rPr>
              <w:t>Curso con cupo agotado</w:t>
            </w:r>
          </w:p>
        </w:tc>
        <w:tc>
          <w:tcPr>
            <w:tcW w:type="dxa" w:w="4759"/>
          </w:tcPr>
          <w:p>
            <w:r>
              <w:rPr>
                <w:sz w:val="19"/>
              </w:rPr>
            </w:r>
            <w:r>
              <w:rPr>
                <w:rFonts w:ascii="Consolas" w:hAnsi="Consolas"/>
                <w:color w:val="2E4A9E"/>
                <w:sz w:val="19"/>
              </w:rPr>
              <w:t>Sin vacantes</w:t>
            </w:r>
          </w:p>
        </w:tc>
      </w:tr>
      <w:tr>
        <w:tc>
          <w:tcPr>
            <w:tcW w:type="dxa" w:w="4759"/>
          </w:tcPr>
          <w:p>
            <w:r>
              <w:rPr>
                <w:sz w:val="19"/>
              </w:rPr>
            </w:r>
            <w:r>
              <w:rPr>
                <w:sz w:val="19"/>
              </w:rPr>
              <w:t>Matrícula rechazada en curso lleno</w:t>
            </w:r>
          </w:p>
        </w:tc>
        <w:tc>
          <w:tcPr>
            <w:tcW w:type="dxa" w:w="4759"/>
          </w:tcPr>
          <w:p>
            <w:r>
              <w:rPr>
                <w:sz w:val="19"/>
              </w:rPr>
            </w:r>
            <w:r>
              <w:rPr>
                <w:sz w:val="19"/>
              </w:rPr>
              <w:t>mensaje de validación</w:t>
            </w:r>
          </w:p>
        </w:tc>
      </w:tr>
      <w:tr>
        <w:tc>
          <w:tcPr>
            <w:tcW w:type="dxa" w:w="4759"/>
          </w:tcPr>
          <w:p>
            <w:r>
              <w:rPr>
                <w:sz w:val="19"/>
              </w:rPr>
            </w:r>
            <w:r>
              <w:rPr>
                <w:sz w:val="19"/>
              </w:rPr>
              <w:t>Edición de matrícula en curso lleno</w:t>
            </w:r>
          </w:p>
        </w:tc>
        <w:tc>
          <w:tcPr>
            <w:tcW w:type="dxa" w:w="4759"/>
          </w:tcPr>
          <w:p>
            <w:r>
              <w:rPr>
                <w:sz w:val="19"/>
              </w:rPr>
            </w:r>
            <w:r>
              <w:rPr>
                <w:sz w:val="19"/>
              </w:rPr>
              <w:t>permitida</w:t>
            </w:r>
          </w:p>
        </w:tc>
      </w:tr>
      <w:tr>
        <w:tc>
          <w:tcPr>
            <w:tcW w:type="dxa" w:w="4759"/>
          </w:tcPr>
          <w:p>
            <w:r>
              <w:rPr>
                <w:sz w:val="19"/>
              </w:rPr>
            </w:r>
            <w:r>
              <w:rPr>
                <w:sz w:val="19"/>
              </w:rPr>
              <w:t>Panel de ocupación, curso al 100 %</w:t>
            </w:r>
          </w:p>
        </w:tc>
        <w:tc>
          <w:tcPr>
            <w:tcW w:type="dxa" w:w="4759"/>
          </w:tcPr>
          <w:p>
            <w:r>
              <w:rPr>
                <w:sz w:val="19"/>
              </w:rPr>
            </w:r>
            <w:r>
              <w:rPr>
                <w:rFonts w:ascii="Consolas" w:hAnsi="Consolas"/>
                <w:color w:val="2E4A9E"/>
                <w:sz w:val="19"/>
              </w:rPr>
              <w:t>2 / 2 (100%)</w:t>
            </w:r>
            <w:r>
              <w:rPr>
                <w:sz w:val="19"/>
              </w:rPr>
              <w:t xml:space="preserve"> en rojo</w:t>
            </w:r>
          </w:p>
        </w:tc>
      </w:tr>
      <w:tr>
        <w:tc>
          <w:tcPr>
            <w:tcW w:type="dxa" w:w="4759"/>
          </w:tcPr>
          <w:p>
            <w:r>
              <w:rPr>
                <w:sz w:val="19"/>
              </w:rPr>
            </w:r>
            <w:r>
              <w:rPr>
                <w:sz w:val="19"/>
              </w:rPr>
              <w:t>Umbral del 70 %</w:t>
            </w:r>
          </w:p>
        </w:tc>
        <w:tc>
          <w:tcPr>
            <w:tcW w:type="dxa" w:w="4759"/>
          </w:tcPr>
          <w:p>
            <w:r>
              <w:rPr>
                <w:sz w:val="19"/>
              </w:rPr>
            </w:r>
            <w:r>
              <w:rPr>
                <w:rFonts w:ascii="Consolas" w:hAnsi="Consolas"/>
                <w:color w:val="2E4A9E"/>
                <w:sz w:val="19"/>
              </w:rPr>
              <w:t>7 / 10 (70%)</w:t>
            </w:r>
            <w:r>
              <w:rPr>
                <w:sz w:val="19"/>
              </w:rPr>
              <w:t xml:space="preserve"> en ámbar</w:t>
            </w:r>
          </w:p>
        </w:tc>
      </w:tr>
      <w:tr>
        <w:tc>
          <w:tcPr>
            <w:tcW w:type="dxa" w:w="4759"/>
          </w:tcPr>
          <w:p>
            <w:r>
              <w:rPr>
                <w:sz w:val="19"/>
              </w:rPr>
            </w:r>
            <w:r>
              <w:rPr>
                <w:sz w:val="19"/>
              </w:rPr>
              <w:t>Aviso de cursos sin vacantes</w:t>
            </w:r>
          </w:p>
        </w:tc>
        <w:tc>
          <w:tcPr>
            <w:tcW w:type="dxa" w:w="4759"/>
          </w:tcPr>
          <w:p>
            <w:r>
              <w:rPr>
                <w:sz w:val="19"/>
              </w:rPr>
            </w:r>
            <w:r>
              <w:rPr>
                <w:rFonts w:ascii="Consolas" w:hAnsi="Consolas"/>
                <w:color w:val="2E4A9E"/>
                <w:sz w:val="19"/>
              </w:rPr>
              <w:t>1 curso(s) sin vacantes.</w:t>
            </w:r>
          </w:p>
        </w:tc>
      </w:tr>
      <w:tr>
        <w:tc>
          <w:tcPr>
            <w:tcW w:type="dxa" w:w="4759"/>
          </w:tcPr>
          <w:p>
            <w:r>
              <w:rPr>
                <w:sz w:val="19"/>
              </w:rPr>
            </w:r>
            <w:r>
              <w:rPr>
                <w:sz w:val="19"/>
              </w:rPr>
              <w:t>Constancia: estudiante, curso y código</w:t>
            </w:r>
          </w:p>
        </w:tc>
        <w:tc>
          <w:tcPr>
            <w:tcW w:type="dxa" w:w="4759"/>
          </w:tcPr>
          <w:p>
            <w:r>
              <w:rPr>
                <w:sz w:val="19"/>
              </w:rPr>
            </w:r>
            <w:r>
              <w:rPr>
                <w:sz w:val="19"/>
              </w:rPr>
              <w:t>correctos</w:t>
            </w:r>
          </w:p>
        </w:tc>
      </w:tr>
      <w:tr>
        <w:tc>
          <w:tcPr>
            <w:tcW w:type="dxa" w:w="4759"/>
          </w:tcPr>
          <w:p>
            <w:r>
              <w:rPr>
                <w:sz w:val="19"/>
              </w:rPr>
            </w:r>
            <w:r>
              <w:rPr>
                <w:sz w:val="19"/>
              </w:rPr>
              <w:t>Constancia al imprimir</w:t>
            </w:r>
          </w:p>
        </w:tc>
        <w:tc>
          <w:tcPr>
            <w:tcW w:type="dxa" w:w="4759"/>
          </w:tcPr>
          <w:p>
            <w:r>
              <w:rPr>
                <w:sz w:val="19"/>
              </w:rPr>
            </w:r>
            <w:r>
              <w:rPr>
                <w:sz w:val="19"/>
              </w:rPr>
              <w:t>oculta la aplicación, deja la hoja</w:t>
            </w:r>
          </w:p>
        </w:tc>
      </w:tr>
      <w:tr>
        <w:tc>
          <w:tcPr>
            <w:tcW w:type="dxa" w:w="4759"/>
          </w:tcPr>
          <w:p>
            <w:r>
              <w:rPr>
                <w:sz w:val="19"/>
              </w:rPr>
            </w:r>
            <w:r>
              <w:rPr>
                <w:sz w:val="19"/>
              </w:rPr>
              <w:t>Búsqueda y filtros del APF1</w:t>
            </w:r>
          </w:p>
        </w:tc>
        <w:tc>
          <w:tcPr>
            <w:tcW w:type="dxa" w:w="4759"/>
          </w:tcPr>
          <w:p>
            <w:r>
              <w:rPr>
                <w:sz w:val="19"/>
              </w:rPr>
            </w:r>
            <w:r>
              <w:rPr>
                <w:sz w:val="19"/>
              </w:rPr>
              <w:t>operativos</w:t>
            </w:r>
          </w:p>
        </w:tc>
      </w:tr>
      <w:tr>
        <w:tc>
          <w:tcPr>
            <w:tcW w:type="dxa" w:w="4759"/>
          </w:tcPr>
          <w:p>
            <w:r>
              <w:rPr>
                <w:sz w:val="19"/>
              </w:rPr>
            </w:r>
            <w:r>
              <w:rPr>
                <w:sz w:val="19"/>
              </w:rPr>
              <w:t>Resumen por carrera del APF1</w:t>
            </w:r>
          </w:p>
        </w:tc>
        <w:tc>
          <w:tcPr>
            <w:tcW w:type="dxa" w:w="4759"/>
          </w:tcPr>
          <w:p>
            <w:r>
              <w:rPr>
                <w:sz w:val="19"/>
              </w:rPr>
            </w:r>
            <w:r>
              <w:rPr>
                <w:sz w:val="19"/>
              </w:rPr>
              <w:t>operativo</w:t>
            </w:r>
          </w:p>
        </w:tc>
      </w:tr>
      <w:tr>
        <w:tc>
          <w:tcPr>
            <w:tcW w:type="dxa" w:w="4759"/>
          </w:tcPr>
          <w:p>
            <w:r>
              <w:rPr>
                <w:sz w:val="19"/>
              </w:rPr>
            </w:r>
            <w:r>
              <w:rPr>
                <w:sz w:val="19"/>
              </w:rPr>
              <w:t>Errores de consola</w:t>
            </w:r>
          </w:p>
        </w:tc>
        <w:tc>
          <w:tcPr>
            <w:tcW w:type="dxa" w:w="4759"/>
          </w:tcPr>
          <w:p>
            <w:r>
              <w:rPr>
                <w:sz w:val="19"/>
              </w:rPr>
            </w:r>
            <w:r>
              <w:rPr>
                <w:sz w:val="19"/>
              </w:rPr>
              <w:t>0</w:t>
            </w:r>
          </w:p>
        </w:tc>
      </w:tr>
    </w:tbl>
    <w:p>
      <w:pPr>
        <w:spacing w:after="80"/>
      </w:pPr>
    </w:p>
    <w:p>
      <w:pPr>
        <w:pStyle w:val="Heading2"/>
      </w:pPr>
      <w:r>
        <w:t>12. Participación del equipo</w:t>
      </w:r>
    </w:p>
    <w:p>
      <w:pPr>
        <w:jc w:val="both"/>
      </w:pPr>
      <w:r>
        <w:t>Commits del avance, desde el cierre del APF1:</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fill="F4F6FB"/>
          </w:tcPr>
          <w:p>
            <w:r>
              <w:rPr>
                <w:b/>
                <w:color w:val="1A2A52"/>
                <w:sz w:val="19"/>
              </w:rPr>
            </w:r>
            <w:r>
              <w:rPr>
                <w:b/>
                <w:color w:val="1A2A52"/>
                <w:sz w:val="19"/>
              </w:rPr>
              <w:t>Integrante</w:t>
            </w:r>
          </w:p>
        </w:tc>
        <w:tc>
          <w:tcPr>
            <w:tcW w:type="dxa" w:w="3173"/>
            <w:shd w:val="clear" w:fill="F4F6FB"/>
          </w:tcPr>
          <w:p>
            <w:r>
              <w:rPr>
                <w:b/>
                <w:color w:val="1A2A52"/>
                <w:sz w:val="19"/>
              </w:rPr>
            </w:r>
            <w:r>
              <w:rPr>
                <w:b/>
                <w:color w:val="1A2A52"/>
                <w:sz w:val="19"/>
              </w:rPr>
              <w:t>Commits del APF2</w:t>
            </w:r>
          </w:p>
        </w:tc>
        <w:tc>
          <w:tcPr>
            <w:tcW w:type="dxa" w:w="3173"/>
            <w:shd w:val="clear" w:fill="F4F6FB"/>
          </w:tcPr>
          <w:p>
            <w:r>
              <w:rPr>
                <w:b/>
                <w:color w:val="1A2A52"/>
                <w:sz w:val="19"/>
              </w:rPr>
            </w:r>
            <w:r>
              <w:rPr>
                <w:b/>
                <w:color w:val="1A2A52"/>
                <w:sz w:val="19"/>
              </w:rPr>
              <w:t>Acumulado del proyecto</w:t>
            </w:r>
          </w:p>
        </w:tc>
      </w:tr>
      <w:tr>
        <w:tc>
          <w:tcPr>
            <w:tcW w:type="dxa" w:w="3173"/>
          </w:tcPr>
          <w:p>
            <w:r>
              <w:rPr>
                <w:sz w:val="19"/>
              </w:rPr>
            </w:r>
            <w:r>
              <w:rPr>
                <w:sz w:val="19"/>
              </w:rPr>
              <w:t>Aparcana Mamani Rodrigo Alonso</w:t>
            </w:r>
          </w:p>
        </w:tc>
        <w:tc>
          <w:tcPr>
            <w:tcW w:type="dxa" w:w="3173"/>
          </w:tcPr>
          <w:p>
            <w:r>
              <w:rPr>
                <w:sz w:val="19"/>
              </w:rPr>
            </w:r>
            <w:r>
              <w:rPr>
                <w:sz w:val="19"/>
              </w:rPr>
              <w:t>7</w:t>
            </w:r>
          </w:p>
        </w:tc>
        <w:tc>
          <w:tcPr>
            <w:tcW w:type="dxa" w:w="3173"/>
          </w:tcPr>
          <w:p>
            <w:r>
              <w:rPr>
                <w:sz w:val="19"/>
              </w:rPr>
            </w:r>
            <w:r>
              <w:rPr>
                <w:sz w:val="19"/>
              </w:rPr>
              <w:t>48</w:t>
            </w:r>
          </w:p>
        </w:tc>
      </w:tr>
      <w:tr>
        <w:tc>
          <w:tcPr>
            <w:tcW w:type="dxa" w:w="3173"/>
          </w:tcPr>
          <w:p>
            <w:r>
              <w:rPr>
                <w:sz w:val="19"/>
              </w:rPr>
            </w:r>
            <w:r>
              <w:rPr>
                <w:sz w:val="19"/>
              </w:rPr>
              <w:t>Ccahuana Huillca Giancarlo</w:t>
            </w:r>
          </w:p>
        </w:tc>
        <w:tc>
          <w:tcPr>
            <w:tcW w:type="dxa" w:w="3173"/>
          </w:tcPr>
          <w:p>
            <w:r>
              <w:rPr>
                <w:sz w:val="19"/>
              </w:rPr>
            </w:r>
            <w:r>
              <w:rPr>
                <w:sz w:val="19"/>
              </w:rPr>
              <w:t>2</w:t>
            </w:r>
          </w:p>
        </w:tc>
        <w:tc>
          <w:tcPr>
            <w:tcW w:type="dxa" w:w="3173"/>
          </w:tcPr>
          <w:p>
            <w:r>
              <w:rPr>
                <w:sz w:val="19"/>
              </w:rPr>
            </w:r>
            <w:r>
              <w:rPr>
                <w:sz w:val="19"/>
              </w:rPr>
              <w:t>8</w:t>
            </w:r>
          </w:p>
        </w:tc>
      </w:tr>
      <w:tr>
        <w:tc>
          <w:tcPr>
            <w:tcW w:type="dxa" w:w="3173"/>
          </w:tcPr>
          <w:p>
            <w:r>
              <w:rPr>
                <w:sz w:val="19"/>
              </w:rPr>
            </w:r>
            <w:r>
              <w:rPr>
                <w:sz w:val="19"/>
              </w:rPr>
              <w:t>Arnold Jhuncor Díaz Silva</w:t>
            </w:r>
          </w:p>
        </w:tc>
        <w:tc>
          <w:tcPr>
            <w:tcW w:type="dxa" w:w="3173"/>
          </w:tcPr>
          <w:p>
            <w:r>
              <w:rPr>
                <w:sz w:val="19"/>
              </w:rPr>
            </w:r>
            <w:r>
              <w:rPr>
                <w:sz w:val="19"/>
              </w:rPr>
              <w:t>2</w:t>
            </w:r>
          </w:p>
        </w:tc>
        <w:tc>
          <w:tcPr>
            <w:tcW w:type="dxa" w:w="3173"/>
          </w:tcPr>
          <w:p>
            <w:r>
              <w:rPr>
                <w:sz w:val="19"/>
              </w:rPr>
            </w:r>
            <w:r>
              <w:rPr>
                <w:sz w:val="19"/>
              </w:rPr>
              <w:t>7</w:t>
            </w:r>
          </w:p>
        </w:tc>
      </w:tr>
    </w:tbl>
    <w:p>
      <w:pPr>
        <w:spacing w:after="80"/>
      </w:pPr>
    </w:p>
    <w:p>
      <w:pPr>
        <w:jc w:val="both"/>
      </w:pPr>
      <w:r>
        <w:t>El reparto de commits sigue siendo desigual, y conviene decirlo con precisión en lugar de disimularlo. De los siete commits de este avance atribuidos al responsable de repositorio, tres corresponden a las fusiones de los Pull Requests y uno a la documentación; el trabajo de desarrollo propiamente dicho está más repartido de lo que sugiere el conteo bruto. Aun así, el equilibrio sigue siendo una deuda del equipo, y es el punto a corregir en el APF3.</w:t>
      </w:r>
    </w:p>
    <w:p>
      <w:pPr>
        <w:jc w:val="both"/>
      </w:pPr>
      <w:r>
        <w:t xml:space="preserve">Lo que sí mejoró respecto del APF1 es que </w:t>
      </w:r>
      <w:r>
        <w:rPr>
          <w:b/>
        </w:rPr>
        <w:t>cada integrante tiene una funcionalidad propia, íntegra y rastreable</w:t>
      </w:r>
      <w:r>
        <w:t>, en lugar de contribuciones sueltas.</w:t>
      </w:r>
    </w:p>
    <w:p>
      <w:pPr>
        <w:pStyle w:val="Heading2"/>
      </w:pPr>
      <w:r>
        <w:t>13. Reflexión sobre la dinámica de trabajo</w:t>
      </w:r>
    </w:p>
    <w:p>
      <w:pPr>
        <w:jc w:val="both"/>
      </w:pPr>
      <w:r>
        <w:t>Tres cosas funcionaron y dos no.</w:t>
      </w:r>
    </w:p>
    <w:p>
      <w:pPr>
        <w:jc w:val="both"/>
      </w:pPr>
      <w:r>
        <w:rPr>
          <w:b/>
        </w:rPr>
        <w:t>Funcionó repartir archivos, no funciones.</w:t>
      </w:r>
      <w:r>
        <w:t xml:space="preserve"> Asignar a cada integrante su propio archivo </w:t>
      </w:r>
      <w:r>
        <w:rPr>
          <w:rFonts w:ascii="Consolas" w:hAnsi="Consolas"/>
          <w:color w:val="2E4A9E"/>
          <w:sz w:val="19"/>
        </w:rPr>
        <w:t>.js</w:t>
      </w:r>
      <w:r>
        <w:t xml:space="preserve"> evitó que las tres ramas compitieran por las mismas líneas de </w:t>
      </w:r>
      <w:r>
        <w:rPr>
          <w:rFonts w:ascii="Consolas" w:hAnsi="Consolas"/>
          <w:color w:val="2E4A9E"/>
          <w:sz w:val="19"/>
        </w:rPr>
        <w:t>app.js</w:t>
      </w:r>
      <w:r>
        <w:t>. El único conflicto del avance apareció en la hoja de estilos, que es compartida por naturaleza, y fue trivial de resolver porque los bloques no se superponían.</w:t>
      </w:r>
    </w:p>
    <w:p>
      <w:pPr>
        <w:jc w:val="both"/>
      </w:pPr>
      <w:r>
        <w:rPr>
          <w:b/>
        </w:rPr>
        <w:t>Funcionó la revisión de código con comentarios sobre líneas concretas.</w:t>
      </w:r>
      <w:r>
        <w:t xml:space="preserve"> Los dos defectos que encontró la revisión del PR #2 no se habrían detectado probando la aplicación: los dos requieren un escenario específico —renombrar un curso ya matriculado, o dos cursos homónimos en ciclos distintos— que nadie prueba por casualidad.</w:t>
      </w:r>
    </w:p>
    <w:p>
      <w:pPr>
        <w:jc w:val="both"/>
      </w:pPr>
      <w:r>
        <w:rPr>
          <w:b/>
        </w:rPr>
        <w:t>Funcionó la reunión diaria corta.</w:t>
      </w:r>
      <w:r>
        <w:t xml:space="preserve"> Con ramas que dependen unas de otras, media hora diaria sirve para acordar el orden de integración. Una reunión semanal larga habría llegado tarde.</w:t>
      </w:r>
    </w:p>
    <w:p>
      <w:pPr>
        <w:jc w:val="both"/>
      </w:pPr>
      <w:r>
        <w:rPr>
          <w:b/>
        </w:rPr>
        <w:t>No funcionó demorar la integración del PR #2.</w:t>
      </w:r>
      <w:r>
        <w:t xml:space="preserve"> El catálogo de cursos quedó aprobado varios días antes de integrarse a </w:t>
      </w:r>
      <w:r>
        <w:rPr>
          <w:rFonts w:ascii="Consolas" w:hAnsi="Consolas"/>
          <w:color w:val="2E4A9E"/>
          <w:sz w:val="19"/>
        </w:rPr>
        <w:t>main</w:t>
      </w:r>
      <w:r>
        <w:t xml:space="preserve">. Mientras tanto, los otros dos integrantes no tenían una base actualizada de dónde partir: uno optó por ramificar desde la rama del catálogo y el otro arrancó desde </w:t>
      </w:r>
      <w:r>
        <w:rPr>
          <w:rFonts w:ascii="Consolas" w:hAnsi="Consolas"/>
          <w:color w:val="2E4A9E"/>
          <w:sz w:val="19"/>
        </w:rPr>
        <w:t>main</w:t>
      </w:r>
      <w:r>
        <w:t xml:space="preserve">, sin el catálogo, lo que lo llevó a reescribir dos funciones que ya existían. Esas funciones duplicadas habrían roto el conteo de ocupación al integrarse. La lección es concreta: </w:t>
      </w:r>
      <w:r>
        <w:rPr>
          <w:b/>
        </w:rPr>
        <w:t>un Pull Request aprobado debe integrarse de inmediato</w:t>
      </w:r>
      <w:r>
        <w:t>, porque mientras siga abierto bloquea a quien depende de él.</w:t>
      </w:r>
    </w:p>
    <w:p>
      <w:pPr>
        <w:jc w:val="both"/>
      </w:pPr>
      <w:r>
        <w:rPr>
          <w:b/>
        </w:rPr>
        <w:t>No funcionó confiar en la lectura del código para validar la resolución del conflicto.</w:t>
      </w:r>
      <w:r>
        <w:t xml:space="preserve"> El error del bloque </w:t>
      </w:r>
      <w:r>
        <w:rPr>
          <w:rFonts w:ascii="Consolas" w:hAnsi="Consolas"/>
          <w:color w:val="2E4A9E"/>
          <w:sz w:val="19"/>
        </w:rPr>
        <w:t>@media print</w:t>
      </w:r>
      <w:r>
        <w:t xml:space="preserve"> pasó la inspección visual sin problemas y solo apareció al abrir la aplicación. Toda resolución de conflicto debe cerrarse ejecutando la aplicación, no leyendo el diff.</w:t>
      </w:r>
    </w:p>
    <w:p>
      <w:pPr>
        <w:pStyle w:val="Heading2"/>
      </w:pPr>
      <w:r>
        <w:t>14. Conclusiones</w:t>
      </w:r>
    </w:p>
    <w:p>
      <w:pPr>
        <w:jc w:val="both"/>
      </w:pPr>
      <w:r>
        <w:t>El avance cumplió su objetivo: el repositorio pasó de ser un lugar donde se guardan commits a ser un entorno de trabajo con un flujo definido. Toda modificación del producto en este periodo entró por una rama, fue propuesta mediante un Pull Request, fue revisada por otro integrante y quedó asociada a una tarea con responsable y estado.</w:t>
      </w:r>
    </w:p>
    <w:p>
      <w:pPr>
        <w:jc w:val="both"/>
      </w:pPr>
      <w:r>
        <w:t xml:space="preserve">La evidencia más valiosa del avance no son las tres funcionalidades nuevas, sino los dos defectos que la revisión de código detectó antes de que llegaran a </w:t>
      </w:r>
      <w:r>
        <w:rPr>
          <w:rFonts w:ascii="Consolas" w:hAnsi="Consolas"/>
          <w:color w:val="2E4A9E"/>
          <w:sz w:val="19"/>
        </w:rPr>
        <w:t>main</w:t>
      </w:r>
      <w:r>
        <w:t>. Eso es lo que distingue un flujo colaborativo real de uno simulado para la entrega.</w:t>
      </w:r>
    </w:p>
    <w:p>
      <w:pPr>
        <w:pStyle w:val="Heading2"/>
      </w:pPr>
      <w:r>
        <w:t>15. Próximos pasos (APF3)</w:t>
      </w:r>
    </w:p>
    <w:p>
      <w:pPr>
        <w:pStyle w:val="ListBullet"/>
      </w:pPr>
      <w:r>
        <w:t>Registrar incidencias como issues de tipo error y cerrar al menos una con la evidencia del commit que la resolvió.</w:t>
      </w:r>
    </w:p>
    <w:p>
      <w:pPr>
        <w:pStyle w:val="ListBullet"/>
      </w:pPr>
      <w:r>
        <w:t>Configurar un flujo de integración continua que valide automáticamente la sintaxis de los archivos JavaScript y la estructura del HTML.</w:t>
      </w:r>
    </w:p>
    <w:p>
      <w:pPr>
        <w:pStyle w:val="ListBullet"/>
      </w:pPr>
      <w:r>
        <w:t xml:space="preserve">Configurar un flujo de entrega continua que publique la aplicación al integrar en </w:t>
      </w:r>
      <w:r>
        <w:rPr>
          <w:rFonts w:ascii="Consolas" w:hAnsi="Consolas"/>
          <w:color w:val="2E4A9E"/>
          <w:sz w:val="19"/>
        </w:rPr>
        <w:t>main</w:t>
      </w:r>
      <w:r>
        <w:t>.</w:t>
      </w:r>
    </w:p>
    <w:p>
      <w:pPr>
        <w:pStyle w:val="ListBullet"/>
      </w:pPr>
      <w:r>
        <w:t>Desplegar una versión de prueba en una plataforma en la nube.</w:t>
      </w:r>
    </w:p>
    <w:p>
      <w:pPr>
        <w:pStyle w:val="ListBullet"/>
      </w:pPr>
      <w:r>
        <w:t>Equilibrar el reparto de commits entre los tres integrantes.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2A52"/>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2A52"/>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2A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