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C591BF" w14:textId="226C7B4E" w:rsidR="00CA0ACF" w:rsidRPr="00650653" w:rsidRDefault="00000000">
      <w:pPr>
        <w:jc w:val="center"/>
        <w:rPr>
          <w:color w:val="auto"/>
          <w:lang w:val="es-PE"/>
        </w:rPr>
      </w:pPr>
      <w:r w:rsidRPr="00650653">
        <w:rPr>
          <w:b/>
          <w:color w:val="auto"/>
          <w:sz w:val="36"/>
          <w:lang w:val="es-PE"/>
        </w:rPr>
        <w:t xml:space="preserve">PROYECTO CAPSTONE: </w:t>
      </w:r>
      <w:r w:rsidR="00FA7A7D" w:rsidRPr="00650653">
        <w:rPr>
          <w:b/>
          <w:i/>
          <w:color w:val="auto"/>
          <w:sz w:val="36"/>
          <w:lang w:val="es-PE"/>
        </w:rPr>
        <w:t>Sistema Global de Inteligencia de Mercado y Scouting Deportivo</w:t>
      </w:r>
    </w:p>
    <w:p w14:paraId="4CC92878" w14:textId="77777777" w:rsidR="00CA0ACF" w:rsidRPr="00650653" w:rsidRDefault="00CA0ACF">
      <w:pPr>
        <w:spacing w:after="240"/>
        <w:rPr>
          <w:color w:val="auto"/>
          <w:lang w:val="es-PE"/>
        </w:rPr>
      </w:pPr>
    </w:p>
    <w:p w14:paraId="5C22502B" w14:textId="77777777" w:rsidR="00CA0ACF" w:rsidRPr="00650653" w:rsidRDefault="00000000">
      <w:pPr>
        <w:spacing w:before="240" w:after="120"/>
        <w:rPr>
          <w:color w:val="auto"/>
          <w:lang w:val="es-PE"/>
        </w:rPr>
      </w:pPr>
      <w:r w:rsidRPr="00650653">
        <w:rPr>
          <w:b/>
          <w:color w:val="auto"/>
          <w:sz w:val="28"/>
          <w:lang w:val="es-PE"/>
        </w:rPr>
        <w:t>1. CONTEXTO DE NEGOCIO</w:t>
      </w:r>
    </w:p>
    <w:p w14:paraId="2B6A73E3" w14:textId="77777777" w:rsidR="00CA0ACF" w:rsidRPr="00650653" w:rsidRDefault="00000000">
      <w:pPr>
        <w:rPr>
          <w:color w:val="auto"/>
          <w:lang w:val="es-PE"/>
        </w:rPr>
      </w:pPr>
      <w:r w:rsidRPr="00650653">
        <w:rPr>
          <w:color w:val="auto"/>
          <w:lang w:val="es-PE"/>
        </w:rPr>
        <w:t>Ustedes han sido contratados como el equipo de Consultoría en Analítica Avanzada y Big Data para un consorcio internacional de clubes de fútbol. Históricamente, las decisiones de fichajes, renovación de contratos y asignación de salarios en el consorcio se han basado en la intuición de los directores deportivos y reportes cualitativos de los visores (scouts). Este enfoque tradicional ha generado ineficiencias financieras significativas, incluyendo la compra de jugadores sobrevalorados y la pérdida de talentos emergentes en ligas secundarias.</w:t>
      </w:r>
    </w:p>
    <w:p w14:paraId="2DECA561" w14:textId="77777777" w:rsidR="00CA0ACF" w:rsidRPr="00650653" w:rsidRDefault="00000000">
      <w:pPr>
        <w:spacing w:after="240"/>
        <w:rPr>
          <w:color w:val="auto"/>
          <w:lang w:val="es-PE"/>
        </w:rPr>
      </w:pPr>
      <w:r w:rsidRPr="00650653">
        <w:rPr>
          <w:color w:val="auto"/>
          <w:lang w:val="es-PE"/>
        </w:rPr>
        <w:t>Para mitigar este problema, el consorcio ha adquirido un dataset global unificado (merged_players.csv) que contiene registros detallados de miles de jugadores profesionales de todo el mundo. Este dataset incluye atributos físicos, habilidades técnicas, características psicológicas, posiciones tácticas, lesiones históricas y valoraciones de mercado actuales. El objetivo del consorcio es realizar una transición completa hacia un modelo de gestión basado en datos (estrategia Moneyball Avanzada).</w:t>
      </w:r>
    </w:p>
    <w:p w14:paraId="6A9152E0" w14:textId="77777777" w:rsidR="00CA0ACF" w:rsidRPr="00650653" w:rsidRDefault="00000000">
      <w:pPr>
        <w:spacing w:before="240"/>
        <w:rPr>
          <w:color w:val="auto"/>
          <w:lang w:val="es-PE"/>
        </w:rPr>
      </w:pPr>
      <w:r w:rsidRPr="00650653">
        <w:rPr>
          <w:b/>
          <w:color w:val="auto"/>
          <w:sz w:val="28"/>
          <w:lang w:val="es-PE"/>
        </w:rPr>
        <w:t>2. OBJETIVOS DEL PROYECTO CAPSTONE</w:t>
      </w:r>
    </w:p>
    <w:p w14:paraId="64255701" w14:textId="77777777" w:rsidR="00CA0ACF" w:rsidRPr="00650653" w:rsidRDefault="00000000">
      <w:pPr>
        <w:spacing w:after="120"/>
        <w:rPr>
          <w:color w:val="auto"/>
          <w:lang w:val="es-PE"/>
        </w:rPr>
      </w:pPr>
      <w:r w:rsidRPr="00650653">
        <w:rPr>
          <w:color w:val="auto"/>
          <w:lang w:val="es-PE"/>
        </w:rPr>
        <w:t>El equipo de consultores deberá diseñar, implementar y sustentar un Sistema Analítico que resuelva las siguientes necesidades estratégicas utilizando técnicas avanzadas de Machine Learning:</w:t>
      </w:r>
    </w:p>
    <w:p w14:paraId="0787B655" w14:textId="77777777" w:rsidR="00CA0ACF" w:rsidRPr="00650653" w:rsidRDefault="00000000">
      <w:pPr>
        <w:pStyle w:val="ListBullet"/>
        <w:rPr>
          <w:color w:val="auto"/>
          <w:lang w:val="es-PE"/>
        </w:rPr>
      </w:pPr>
      <w:r w:rsidRPr="00650653">
        <w:rPr>
          <w:b/>
          <w:color w:val="auto"/>
          <w:lang w:val="es-PE"/>
        </w:rPr>
        <w:t xml:space="preserve">Modelamiento No Supervisado: </w:t>
      </w:r>
      <w:r w:rsidRPr="00650653">
        <w:rPr>
          <w:color w:val="auto"/>
          <w:lang w:val="es-PE"/>
        </w:rPr>
        <w:t>Segmentar el mercado de jugadores para descubrir perfiles tácticos ocultos, identificar grupos homogéneos de rendimiento y diseñar un motor de búsqueda de 'clones' (jugadores de bajo costo con un perfil estadístico idéntico al de superestrellas inalcanzables).</w:t>
      </w:r>
    </w:p>
    <w:p w14:paraId="7C6A7CBE" w14:textId="77777777" w:rsidR="00CA0ACF" w:rsidRPr="00650653" w:rsidRDefault="00000000">
      <w:pPr>
        <w:pStyle w:val="ListBullet"/>
        <w:rPr>
          <w:color w:val="auto"/>
          <w:lang w:val="es-PE"/>
        </w:rPr>
      </w:pPr>
      <w:r w:rsidRPr="00650653">
        <w:rPr>
          <w:b/>
          <w:color w:val="auto"/>
          <w:lang w:val="es-PE"/>
        </w:rPr>
        <w:t xml:space="preserve">Modelamiento Supervisado: </w:t>
      </w:r>
      <w:r w:rsidRPr="00650653">
        <w:rPr>
          <w:color w:val="auto"/>
          <w:lang w:val="es-PE"/>
        </w:rPr>
        <w:t>Desarrollar modelos predictivos robustos para estimar el valor de transferencia (Transfer Value) de los jugadores, identificar qué variables influyen críticamente en la valoración y clasificar el potencial de éxito de los jóvenes talentos (proyecciones de internacionalidades/Caps).</w:t>
      </w:r>
    </w:p>
    <w:p w14:paraId="1C408920" w14:textId="77777777" w:rsidR="00CA0ACF" w:rsidRPr="00650653" w:rsidRDefault="00000000">
      <w:pPr>
        <w:pStyle w:val="ListBullet"/>
        <w:rPr>
          <w:color w:val="auto"/>
          <w:lang w:val="es-PE"/>
        </w:rPr>
      </w:pPr>
      <w:r w:rsidRPr="00650653">
        <w:rPr>
          <w:b/>
          <w:color w:val="auto"/>
          <w:lang w:val="es-PE"/>
        </w:rPr>
        <w:t xml:space="preserve">Sustentación de Negocio y Defensa de Decisiones: </w:t>
      </w:r>
      <w:r w:rsidRPr="00650653">
        <w:rPr>
          <w:color w:val="auto"/>
          <w:lang w:val="es-PE"/>
        </w:rPr>
        <w:t>Argumentar técnicamente la elección de los algoritmos utilizados ante el Comité Ejecutivo del Consorcio, demostrando rigor estadístico y traduciendo las métricas de rendimiento (RMSE, MAE, R², F1-Score, Silhouette Index) en impacto financiero y deportivo.</w:t>
      </w:r>
    </w:p>
    <w:p w14:paraId="72D94D17" w14:textId="77777777" w:rsidR="00CA0ACF" w:rsidRPr="00650653" w:rsidRDefault="00000000">
      <w:pPr>
        <w:spacing w:before="240"/>
        <w:rPr>
          <w:color w:val="auto"/>
          <w:lang w:val="es-PE"/>
        </w:rPr>
      </w:pPr>
      <w:r w:rsidRPr="00650653">
        <w:rPr>
          <w:b/>
          <w:color w:val="auto"/>
          <w:sz w:val="28"/>
          <w:lang w:val="es-PE"/>
        </w:rPr>
        <w:t>3. FASES Y REQUISITOS TÉCNICOS</w:t>
      </w:r>
    </w:p>
    <w:p w14:paraId="156F5B9A" w14:textId="77777777" w:rsidR="00CA0ACF" w:rsidRPr="00650653" w:rsidRDefault="00000000">
      <w:pPr>
        <w:rPr>
          <w:color w:val="auto"/>
          <w:lang w:val="es-PE"/>
        </w:rPr>
      </w:pPr>
      <w:r w:rsidRPr="00650653">
        <w:rPr>
          <w:b/>
          <w:color w:val="auto"/>
          <w:lang w:val="es-PE"/>
        </w:rPr>
        <w:t>Fase 1: Ingeniería de Datos y Análisis Exploratorio (EDA)</w:t>
      </w:r>
      <w:r w:rsidRPr="00650653">
        <w:rPr>
          <w:b/>
          <w:color w:val="auto"/>
          <w:lang w:val="es-PE"/>
        </w:rPr>
        <w:br/>
      </w:r>
      <w:r w:rsidRPr="00650653">
        <w:rPr>
          <w:color w:val="auto"/>
          <w:lang w:val="es-PE"/>
        </w:rPr>
        <w:t xml:space="preserve">• Limpieza y Transformación: El dataset contiene variables en formatos no listos para modelos (ej. alturas en formato de pies y pulgadas como 5'9", pesos con texto 'kg', y valores de </w:t>
      </w:r>
      <w:r w:rsidRPr="00650653">
        <w:rPr>
          <w:color w:val="auto"/>
          <w:lang w:val="es-PE"/>
        </w:rPr>
        <w:lastRenderedPageBreak/>
        <w:t>transferencia con símbolos monetarios). Es obligatorio realizar el parsing y conversión a formato numérico puro.</w:t>
      </w:r>
      <w:r w:rsidRPr="00650653">
        <w:rPr>
          <w:color w:val="auto"/>
          <w:lang w:val="es-PE"/>
        </w:rPr>
        <w:br/>
        <w:t>• Tratamiento de Nulos y Atípicos: Sustentar la estrategia de imputación u omisión de datos faltantes.</w:t>
      </w:r>
      <w:r w:rsidRPr="00650653">
        <w:rPr>
          <w:color w:val="auto"/>
          <w:lang w:val="es-PE"/>
        </w:rPr>
        <w:br/>
        <w:t>• Análisis de Correlación y Reducción de Dimensionalidad: Analizar cómo interactúan los atributos mentales, físicos y técnicos con el valor económico del jugador.</w:t>
      </w:r>
    </w:p>
    <w:p w14:paraId="6C19DA2A" w14:textId="6BDA008C" w:rsidR="00CA0ACF" w:rsidRPr="00650653" w:rsidRDefault="00000000">
      <w:pPr>
        <w:rPr>
          <w:color w:val="auto"/>
          <w:lang w:val="es-PE"/>
        </w:rPr>
      </w:pPr>
      <w:r w:rsidRPr="00650653">
        <w:rPr>
          <w:b/>
          <w:color w:val="auto"/>
          <w:lang w:val="es-PE"/>
        </w:rPr>
        <w:t>Fase 2: Analítica No Supervisada (Clustering &amp; Segmentación)</w:t>
      </w:r>
      <w:r w:rsidRPr="00650653">
        <w:rPr>
          <w:b/>
          <w:color w:val="auto"/>
          <w:lang w:val="es-PE"/>
        </w:rPr>
        <w:br/>
      </w:r>
      <w:r w:rsidRPr="00650653">
        <w:rPr>
          <w:color w:val="auto"/>
          <w:lang w:val="es-PE"/>
        </w:rPr>
        <w:t>El equipo debe seleccionar, justificar e implementar un algoritmo de aprendizaje no supervisado (ej. K-Means). Deben responder a:</w:t>
      </w:r>
      <w:r w:rsidRPr="00650653">
        <w:rPr>
          <w:color w:val="auto"/>
          <w:lang w:val="es-PE"/>
        </w:rPr>
        <w:br/>
        <w:t>• ¿Cómo se determinó el número óptimo de clusters? (Demostrar mediante el Método del Codo, Coeficiente de Silueta, etc.).</w:t>
      </w:r>
      <w:r w:rsidRPr="00650653">
        <w:rPr>
          <w:color w:val="auto"/>
          <w:lang w:val="es-PE"/>
        </w:rPr>
        <w:br/>
        <w:t>• ¿Cuál es la interpretación de cada cluster encontrado? Describir el perfil de negocio de los grupos.</w:t>
      </w:r>
      <w:r w:rsidRPr="00650653">
        <w:rPr>
          <w:color w:val="auto"/>
          <w:lang w:val="es-PE"/>
        </w:rPr>
        <w:br/>
        <w:t>• Aplicación Práctica: Presentar un caso de uso de 'Búsqueda de Reemplazos Similares' utilizando distancias estadísticas (ej. Distancia Euclidiana o Similitud de Coseno).</w:t>
      </w:r>
    </w:p>
    <w:p w14:paraId="36D37871" w14:textId="7B852EB0" w:rsidR="00CA0ACF" w:rsidRPr="00650653" w:rsidRDefault="00000000">
      <w:pPr>
        <w:spacing w:after="240"/>
        <w:rPr>
          <w:color w:val="auto"/>
          <w:lang w:val="es-PE"/>
        </w:rPr>
      </w:pPr>
      <w:r w:rsidRPr="00650653">
        <w:rPr>
          <w:b/>
          <w:color w:val="auto"/>
          <w:lang w:val="es-PE"/>
        </w:rPr>
        <w:t>Fase 3: Analítica Supervisada (Predicción y Clasificación)</w:t>
      </w:r>
      <w:r w:rsidRPr="00650653">
        <w:rPr>
          <w:b/>
          <w:color w:val="auto"/>
          <w:lang w:val="es-PE"/>
        </w:rPr>
        <w:br/>
      </w:r>
      <w:r w:rsidRPr="00650653">
        <w:rPr>
          <w:color w:val="auto"/>
          <w:lang w:val="es-PE"/>
        </w:rPr>
        <w:t>El equipo debe seleccionar, evaluar y comparar libremente algoritmos supervisados Deben:</w:t>
      </w:r>
      <w:r w:rsidRPr="00650653">
        <w:rPr>
          <w:color w:val="auto"/>
          <w:lang w:val="es-PE"/>
        </w:rPr>
        <w:br/>
        <w:t>• Justificar la división de datos (Train/Test o Cross-Validation).</w:t>
      </w:r>
      <w:r w:rsidRPr="00650653">
        <w:rPr>
          <w:color w:val="auto"/>
          <w:lang w:val="es-PE"/>
        </w:rPr>
        <w:br/>
        <w:t>• Evaluar y contrastar los modelos mediante múltiples métricas de rendimiento.</w:t>
      </w:r>
      <w:r w:rsidRPr="00650653">
        <w:rPr>
          <w:color w:val="auto"/>
          <w:lang w:val="es-PE"/>
        </w:rPr>
        <w:br/>
        <w:t>• Explicar y controlar activamente el riesgo de sobreajuste (Overfitting).</w:t>
      </w:r>
    </w:p>
    <w:p w14:paraId="69C05234" w14:textId="77777777" w:rsidR="00CA0ACF" w:rsidRPr="00650653" w:rsidRDefault="00000000">
      <w:pPr>
        <w:spacing w:before="240"/>
        <w:rPr>
          <w:color w:val="auto"/>
          <w:lang w:val="es-PE"/>
        </w:rPr>
      </w:pPr>
      <w:r w:rsidRPr="00650653">
        <w:rPr>
          <w:b/>
          <w:color w:val="auto"/>
          <w:sz w:val="28"/>
          <w:lang w:val="es-PE"/>
        </w:rPr>
        <w:t>4. ENTREGABLES Y SUSTENTACIÓN</w:t>
      </w:r>
    </w:p>
    <w:p w14:paraId="121E75DA" w14:textId="77777777" w:rsidR="00CA0ACF" w:rsidRPr="00650653" w:rsidRDefault="00000000">
      <w:pPr>
        <w:rPr>
          <w:color w:val="auto"/>
          <w:lang w:val="es-PE"/>
        </w:rPr>
      </w:pPr>
      <w:r w:rsidRPr="00650653">
        <w:rPr>
          <w:color w:val="auto"/>
          <w:lang w:val="es-PE"/>
        </w:rPr>
        <w:t>Cada equipo presentará los siguientes entregables:</w:t>
      </w:r>
    </w:p>
    <w:p w14:paraId="359BE152" w14:textId="466CD3C2" w:rsidR="00CA0ACF" w:rsidRPr="00650653" w:rsidRDefault="00000000">
      <w:pPr>
        <w:pStyle w:val="ListNumber"/>
        <w:rPr>
          <w:color w:val="auto"/>
          <w:lang w:val="es-PE"/>
        </w:rPr>
      </w:pPr>
      <w:r w:rsidRPr="00650653">
        <w:rPr>
          <w:color w:val="auto"/>
          <w:lang w:val="es-PE"/>
        </w:rPr>
        <w:t>Repositorio de Código o Notebook estructurado: Limpio, comentado, con celdas ejecutables que muestren el pipeline de datos desde la carga hasta la evaluación de modelos.</w:t>
      </w:r>
    </w:p>
    <w:p w14:paraId="381FD850" w14:textId="27762C10" w:rsidR="00CA0ACF" w:rsidRPr="00650653" w:rsidRDefault="00000000">
      <w:pPr>
        <w:pStyle w:val="ListNumber"/>
        <w:rPr>
          <w:color w:val="auto"/>
          <w:lang w:val="es-PE"/>
        </w:rPr>
      </w:pPr>
      <w:r w:rsidRPr="00650653">
        <w:rPr>
          <w:color w:val="auto"/>
          <w:lang w:val="es-PE"/>
        </w:rPr>
        <w:t>Presentación Ejecutiva (Sustentación Oral): Máximo 15 minutos de exposición seguidos de una ronda de preguntas del comité (profesor). El enfoque debe ser híbrido: rigor técnico combinado con traducción de resultados a decisiones de negocio.</w:t>
      </w:r>
    </w:p>
    <w:p w14:paraId="38BA4084" w14:textId="77777777" w:rsidR="00CA0ACF" w:rsidRPr="00650653" w:rsidRDefault="00000000">
      <w:pPr>
        <w:spacing w:before="240"/>
        <w:rPr>
          <w:color w:val="auto"/>
        </w:rPr>
      </w:pPr>
      <w:r w:rsidRPr="00650653">
        <w:rPr>
          <w:b/>
          <w:color w:val="auto"/>
          <w:sz w:val="28"/>
        </w:rPr>
        <w:t>5. MATRIZ DE EVALUACIÓN (RÚBRICA)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A0ACF" w:rsidRPr="00650653" w14:paraId="65EC2370" w14:textId="77777777" w:rsidTr="00650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C49DE6B" w14:textId="77777777" w:rsidR="00CA0ACF" w:rsidRPr="00650653" w:rsidRDefault="00000000">
            <w:pPr>
              <w:rPr>
                <w:color w:val="auto"/>
              </w:rPr>
            </w:pPr>
            <w:r w:rsidRPr="00650653">
              <w:rPr>
                <w:color w:val="auto"/>
              </w:rPr>
              <w:t>Criterio de Evaluación</w:t>
            </w:r>
          </w:p>
        </w:tc>
        <w:tc>
          <w:tcPr>
            <w:tcW w:w="3120" w:type="dxa"/>
          </w:tcPr>
          <w:p w14:paraId="18E6A03E" w14:textId="77777777" w:rsidR="00CA0ACF" w:rsidRPr="006506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50653">
              <w:rPr>
                <w:color w:val="auto"/>
              </w:rPr>
              <w:t>Aspectos Técnicos Esperados</w:t>
            </w:r>
          </w:p>
        </w:tc>
        <w:tc>
          <w:tcPr>
            <w:tcW w:w="3120" w:type="dxa"/>
          </w:tcPr>
          <w:p w14:paraId="629E172E" w14:textId="77777777" w:rsidR="00CA0ACF" w:rsidRPr="006506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50653">
              <w:rPr>
                <w:color w:val="auto"/>
              </w:rPr>
              <w:t>Peso</w:t>
            </w:r>
          </w:p>
        </w:tc>
      </w:tr>
      <w:tr w:rsidR="00CA0ACF" w:rsidRPr="00650653" w14:paraId="6F6BF284" w14:textId="77777777" w:rsidTr="00650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F1876D3" w14:textId="77777777" w:rsidR="00CA0ACF" w:rsidRPr="00650653" w:rsidRDefault="00000000">
            <w:pPr>
              <w:rPr>
                <w:color w:val="auto"/>
                <w:lang w:val="es-PE"/>
              </w:rPr>
            </w:pPr>
            <w:r w:rsidRPr="00650653">
              <w:rPr>
                <w:color w:val="auto"/>
                <w:lang w:val="es-PE"/>
              </w:rPr>
              <w:t>Ingeniería de Datos y EDA</w:t>
            </w:r>
          </w:p>
        </w:tc>
        <w:tc>
          <w:tcPr>
            <w:tcW w:w="3120" w:type="dxa"/>
          </w:tcPr>
          <w:p w14:paraId="58934F26" w14:textId="77777777" w:rsidR="00CA0ACF" w:rsidRPr="00650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PE"/>
              </w:rPr>
            </w:pPr>
            <w:r w:rsidRPr="00650653">
              <w:rPr>
                <w:color w:val="auto"/>
                <w:lang w:val="es-PE"/>
              </w:rPr>
              <w:t>Limpieza correcta de cadenas complejas (altura, peso, moneda). Tratamiento de nulos y justificación de variables seleccionadas.</w:t>
            </w:r>
          </w:p>
        </w:tc>
        <w:tc>
          <w:tcPr>
            <w:tcW w:w="3120" w:type="dxa"/>
          </w:tcPr>
          <w:p w14:paraId="26503E1F" w14:textId="77777777" w:rsidR="00CA0ACF" w:rsidRPr="00650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650653">
              <w:rPr>
                <w:color w:val="auto"/>
              </w:rPr>
              <w:t>20%</w:t>
            </w:r>
          </w:p>
        </w:tc>
      </w:tr>
      <w:tr w:rsidR="00CA0ACF" w:rsidRPr="00650653" w14:paraId="42014B6A" w14:textId="77777777" w:rsidTr="00650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B43A831" w14:textId="77777777" w:rsidR="00CA0ACF" w:rsidRPr="00650653" w:rsidRDefault="00000000">
            <w:pPr>
              <w:rPr>
                <w:color w:val="auto"/>
              </w:rPr>
            </w:pPr>
            <w:r w:rsidRPr="00650653">
              <w:rPr>
                <w:color w:val="auto"/>
              </w:rPr>
              <w:t>Modelamiento No Supervisado</w:t>
            </w:r>
          </w:p>
        </w:tc>
        <w:tc>
          <w:tcPr>
            <w:tcW w:w="3120" w:type="dxa"/>
          </w:tcPr>
          <w:p w14:paraId="0D982B68" w14:textId="77777777" w:rsidR="00CA0ACF" w:rsidRPr="006506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PE"/>
              </w:rPr>
            </w:pPr>
            <w:r w:rsidRPr="00650653">
              <w:rPr>
                <w:color w:val="auto"/>
                <w:lang w:val="es-PE"/>
              </w:rPr>
              <w:t>Sustentación matemática del número de clusters. Interpretación cualitativa y aplicación práctica del algoritmo seleccionado.</w:t>
            </w:r>
          </w:p>
        </w:tc>
        <w:tc>
          <w:tcPr>
            <w:tcW w:w="3120" w:type="dxa"/>
          </w:tcPr>
          <w:p w14:paraId="21C5F2D3" w14:textId="77777777" w:rsidR="00CA0ACF" w:rsidRPr="006506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50653">
              <w:rPr>
                <w:color w:val="auto"/>
              </w:rPr>
              <w:t>30%</w:t>
            </w:r>
          </w:p>
        </w:tc>
      </w:tr>
      <w:tr w:rsidR="00CA0ACF" w:rsidRPr="00650653" w14:paraId="77534BE9" w14:textId="77777777" w:rsidTr="00650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6B6F547" w14:textId="77777777" w:rsidR="00CA0ACF" w:rsidRPr="00650653" w:rsidRDefault="00000000">
            <w:pPr>
              <w:rPr>
                <w:color w:val="auto"/>
              </w:rPr>
            </w:pPr>
            <w:r w:rsidRPr="00650653">
              <w:rPr>
                <w:color w:val="auto"/>
              </w:rPr>
              <w:lastRenderedPageBreak/>
              <w:t>Modelamiento Supervisado</w:t>
            </w:r>
          </w:p>
        </w:tc>
        <w:tc>
          <w:tcPr>
            <w:tcW w:w="3120" w:type="dxa"/>
          </w:tcPr>
          <w:p w14:paraId="73EC817A" w14:textId="77777777" w:rsidR="00CA0ACF" w:rsidRPr="00650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PE"/>
              </w:rPr>
            </w:pPr>
            <w:r w:rsidRPr="00650653">
              <w:rPr>
                <w:color w:val="auto"/>
                <w:lang w:val="es-PE"/>
              </w:rPr>
              <w:t>Comparación de modelos, métricas de error/precisión bien justificadas, control de overfitting y análisis de importancia de variables.</w:t>
            </w:r>
          </w:p>
        </w:tc>
        <w:tc>
          <w:tcPr>
            <w:tcW w:w="3120" w:type="dxa"/>
          </w:tcPr>
          <w:p w14:paraId="5330199C" w14:textId="77777777" w:rsidR="00CA0ACF" w:rsidRPr="00650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650653">
              <w:rPr>
                <w:color w:val="auto"/>
              </w:rPr>
              <w:t>30%</w:t>
            </w:r>
          </w:p>
        </w:tc>
      </w:tr>
      <w:tr w:rsidR="00CA0ACF" w:rsidRPr="00650653" w14:paraId="4C0D8BEF" w14:textId="77777777" w:rsidTr="00650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1942C78" w14:textId="77777777" w:rsidR="00CA0ACF" w:rsidRPr="00650653" w:rsidRDefault="00000000">
            <w:pPr>
              <w:rPr>
                <w:color w:val="auto"/>
              </w:rPr>
            </w:pPr>
            <w:r w:rsidRPr="00650653">
              <w:rPr>
                <w:color w:val="auto"/>
              </w:rPr>
              <w:t>Sustentación Oral y Negocio</w:t>
            </w:r>
          </w:p>
        </w:tc>
        <w:tc>
          <w:tcPr>
            <w:tcW w:w="3120" w:type="dxa"/>
          </w:tcPr>
          <w:p w14:paraId="3C7AD6FA" w14:textId="77777777" w:rsidR="00CA0ACF" w:rsidRPr="006506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PE"/>
              </w:rPr>
            </w:pPr>
            <w:r w:rsidRPr="00650653">
              <w:rPr>
                <w:color w:val="auto"/>
                <w:lang w:val="es-PE"/>
              </w:rPr>
              <w:t>Capacidad para defender las decisiones de algoritmos ante el comité y traducir métricas abstractas en valor comercial/deportivo.</w:t>
            </w:r>
          </w:p>
        </w:tc>
        <w:tc>
          <w:tcPr>
            <w:tcW w:w="3120" w:type="dxa"/>
          </w:tcPr>
          <w:p w14:paraId="4F96176D" w14:textId="77777777" w:rsidR="00CA0ACF" w:rsidRPr="006506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50653">
              <w:rPr>
                <w:color w:val="auto"/>
              </w:rPr>
              <w:t>20%</w:t>
            </w:r>
          </w:p>
        </w:tc>
      </w:tr>
    </w:tbl>
    <w:p w14:paraId="3EBE39C6" w14:textId="77777777" w:rsidR="00BE2426" w:rsidRPr="00650653" w:rsidRDefault="00BE2426">
      <w:pPr>
        <w:rPr>
          <w:color w:val="auto"/>
        </w:rPr>
      </w:pPr>
    </w:p>
    <w:sectPr w:rsidR="00BE2426" w:rsidRPr="0065065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5280190">
    <w:abstractNumId w:val="8"/>
  </w:num>
  <w:num w:numId="2" w16cid:durableId="321784400">
    <w:abstractNumId w:val="6"/>
  </w:num>
  <w:num w:numId="3" w16cid:durableId="1312979541">
    <w:abstractNumId w:val="5"/>
  </w:num>
  <w:num w:numId="4" w16cid:durableId="942028858">
    <w:abstractNumId w:val="4"/>
  </w:num>
  <w:num w:numId="5" w16cid:durableId="621303409">
    <w:abstractNumId w:val="7"/>
  </w:num>
  <w:num w:numId="6" w16cid:durableId="899095184">
    <w:abstractNumId w:val="3"/>
  </w:num>
  <w:num w:numId="7" w16cid:durableId="326137549">
    <w:abstractNumId w:val="2"/>
  </w:num>
  <w:num w:numId="8" w16cid:durableId="1566263596">
    <w:abstractNumId w:val="1"/>
  </w:num>
  <w:num w:numId="9" w16cid:durableId="15939708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9B9"/>
    <w:rsid w:val="00034616"/>
    <w:rsid w:val="0006063C"/>
    <w:rsid w:val="0015074B"/>
    <w:rsid w:val="0029639D"/>
    <w:rsid w:val="00326F90"/>
    <w:rsid w:val="00650653"/>
    <w:rsid w:val="00AA1D8D"/>
    <w:rsid w:val="00B47730"/>
    <w:rsid w:val="00BE2426"/>
    <w:rsid w:val="00CA0ACF"/>
    <w:rsid w:val="00CB0664"/>
    <w:rsid w:val="00FA7A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AC98D2"/>
  <w14:defaultImageDpi w14:val="300"/>
  <w15:docId w15:val="{805C8A1D-7B62-1A4C-9D6A-05A982E8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2">
    <w:name w:val="Plain Table 2"/>
    <w:basedOn w:val="TableNormal"/>
    <w:uiPriority w:val="99"/>
    <w:rsid w:val="0065065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QUINTANA CRUZ HERNAN ALEJANDRO</cp:lastModifiedBy>
  <cp:revision>3</cp:revision>
  <dcterms:created xsi:type="dcterms:W3CDTF">2013-12-23T23:15:00Z</dcterms:created>
  <dcterms:modified xsi:type="dcterms:W3CDTF">2026-07-07T06:24:00Z</dcterms:modified>
  <cp:category/>
</cp:coreProperties>
</file>