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EE6A2C">
        <w:rPr>
          <w:rFonts w:ascii="Arial" w:hAnsi="Arial" w:cs="Arial"/>
          <w:b/>
          <w:sz w:val="36"/>
          <w:szCs w:val="24"/>
        </w:rPr>
        <w:t>Capítulo 3</w:t>
      </w: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EE6A2C">
        <w:rPr>
          <w:rFonts w:ascii="Arial" w:hAnsi="Arial" w:cs="Arial"/>
          <w:b/>
          <w:sz w:val="32"/>
          <w:szCs w:val="24"/>
        </w:rPr>
        <w:t>Solução Proposta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Neste capítulo será apresentado inicialmente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, além de uma proposta de extensão para o suporte </w:t>
      </w:r>
      <w:r w:rsidR="00900185">
        <w:rPr>
          <w:rFonts w:ascii="Arial" w:hAnsi="Arial" w:cs="Arial"/>
          <w:sz w:val="24"/>
          <w:szCs w:val="24"/>
        </w:rPr>
        <w:t>a</w:t>
      </w:r>
      <w:r w:rsidRPr="00EE6A2C">
        <w:rPr>
          <w:rFonts w:ascii="Arial" w:hAnsi="Arial" w:cs="Arial"/>
          <w:sz w:val="24"/>
          <w:szCs w:val="24"/>
        </w:rPr>
        <w:t xml:space="preserve">o modelo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OSGi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dentro da ferramenta.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E6A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EE6A2C">
        <w:rPr>
          <w:rFonts w:ascii="Arial" w:hAnsi="Arial" w:cs="Arial"/>
          <w:sz w:val="28"/>
          <w:szCs w:val="24"/>
        </w:rPr>
        <w:t>InteropFrame</w:t>
      </w:r>
      <w:proofErr w:type="spellEnd"/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Segundo {nascimento2013}, o papel do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o de prover uma solução de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(interconexão) transparente entre componentes distribuídos de modelos diferentes, possibilitando que os componentes envolvidos na construção de aplicações distribuídas interajam através dos mecanismos de interoperabilidade providos pelo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>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possível tornar interoperáveis sistemas desenvolvidos nos modelos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OpenCOM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 Fractal. Esta interoperabilidade pode ocorrer tanto em sistemas locais, como também com partes distribuídas pela rede. O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remoto</w:t>
      </w:r>
      <w:r>
        <w:rPr>
          <w:rFonts w:ascii="Arial" w:hAnsi="Arial" w:cs="Arial"/>
          <w:sz w:val="24"/>
          <w:szCs w:val="24"/>
        </w:rPr>
        <w:t xml:space="preserve"> entre os componentes</w:t>
      </w:r>
      <w:r w:rsidRPr="00EE6A2C">
        <w:rPr>
          <w:rFonts w:ascii="Arial" w:hAnsi="Arial" w:cs="Arial"/>
          <w:sz w:val="24"/>
          <w:szCs w:val="24"/>
        </w:rPr>
        <w:t xml:space="preserve"> é suportado através dos mecanismos Java RMI e Web Services SOAP.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{figuras/interopframe.png}</w:t>
      </w:r>
      <w:r>
        <w:rPr>
          <w:rFonts w:ascii="Arial" w:hAnsi="Arial" w:cs="Arial"/>
          <w:sz w:val="24"/>
          <w:szCs w:val="24"/>
        </w:rPr>
        <w:t xml:space="preserve"> apresenta a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 A seguir são explicados os módulos dessa arquitetura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 xml:space="preserve">Configurador Distribuído (CD) </w:t>
      </w:r>
      <w:r>
        <w:rPr>
          <w:rFonts w:ascii="NimbusRomNo9L-Regu" w:hAnsi="NimbusRomNo9L-Regu" w:cs="NimbusRomNo9L-Regu"/>
          <w:sz w:val="24"/>
          <w:szCs w:val="24"/>
        </w:rPr>
        <w:t xml:space="preserve">– módulo responsável pelo gerenciamento do serviço de interoperabilidade entre os componentes distribuídos. Este módulo coordena e controla as operações dos demais módulos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r>
        <w:rPr>
          <w:rFonts w:ascii="NimbusRomNo9L-Regu" w:hAnsi="NimbusRomNo9L-Regu" w:cs="NimbusRomNo9L-Regu"/>
          <w:sz w:val="24"/>
          <w:szCs w:val="24"/>
        </w:rPr>
        <w:t>distribuído;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Modelos de Componentes (PMC) </w:t>
      </w:r>
      <w:r>
        <w:rPr>
          <w:rFonts w:ascii="NimbusRomNo9L-Regu" w:hAnsi="NimbusRomNo9L-Regu" w:cs="NimbusRomNo9L-Regu"/>
          <w:sz w:val="24"/>
          <w:szCs w:val="24"/>
        </w:rPr>
        <w:t xml:space="preserve">–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</w:t>
      </w:r>
      <w:r>
        <w:rPr>
          <w:rFonts w:ascii="NimbusRomNo9L-Regu" w:hAnsi="NimbusRomNo9L-Regu" w:cs="NimbusRomNo9L-Regu"/>
          <w:sz w:val="24"/>
          <w:szCs w:val="24"/>
        </w:rPr>
        <w:t xml:space="preserve">permite que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suporte um modelo de componentes específico. Um Plug-in de modelo de componente é composto pelos seguintes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Gerador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(GP) </w:t>
      </w:r>
      <w:r>
        <w:rPr>
          <w:rFonts w:ascii="NimbusRomNo9L-Regu" w:hAnsi="NimbusRomNo9L-Regu" w:cs="NimbusRomNo9L-Regu"/>
          <w:sz w:val="24"/>
          <w:szCs w:val="24"/>
        </w:rPr>
        <w:t xml:space="preserve">– responsável pela geração automática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que possibilitam a interoperabilidade entre os componentes distribuídos de </w:t>
      </w: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modelos diferentes. Este módulo baseia-se na geração de código a partir de </w:t>
      </w:r>
      <w:proofErr w:type="spellStart"/>
      <w:r>
        <w:rPr>
          <w:rFonts w:ascii="NimbusRomNo9L-Regu" w:hAnsi="NimbusRomNo9L-Regu" w:cs="NimbusRomNo9L-Regu"/>
          <w:i/>
          <w:sz w:val="24"/>
          <w:szCs w:val="24"/>
        </w:rPr>
        <w:t>templates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pré-definidos para cada modelo de componentes específico;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Montador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(MP) </w:t>
      </w:r>
      <w:r>
        <w:rPr>
          <w:rFonts w:ascii="NimbusRomNo9L-Regu" w:hAnsi="NimbusRomNo9L-Regu" w:cs="NimbusRomNo9L-Regu"/>
          <w:sz w:val="24"/>
          <w:szCs w:val="24"/>
        </w:rPr>
        <w:t xml:space="preserve">- responsável pela execução sob demanda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criados pelo GP, bem como a disponibilização do serviço de interoperabilidade entre os componentes distribuídos;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Repositório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(RP) </w:t>
      </w:r>
      <w:r>
        <w:rPr>
          <w:rFonts w:ascii="NimbusRomNo9L-Regu" w:hAnsi="NimbusRomNo9L-Regu" w:cs="NimbusRomNo9L-Regu"/>
          <w:sz w:val="24"/>
          <w:szCs w:val="24"/>
        </w:rPr>
        <w:t xml:space="preserve">– repositório para armazenamento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gerados pelo GP.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Geradores de </w:t>
      </w:r>
      <w:proofErr w:type="spellStart"/>
      <w:r w:rsidRPr="008E4659">
        <w:rPr>
          <w:rFonts w:ascii="NimbusRomNo9L-MediItal" w:hAnsi="NimbusRomNo9L-MediItal" w:cs="NimbusRomNo9L-MediItal"/>
          <w:i/>
          <w:sz w:val="24"/>
          <w:szCs w:val="24"/>
        </w:rPr>
        <w:t>Bindings</w:t>
      </w:r>
      <w:proofErr w:type="spellEnd"/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(GB) </w:t>
      </w:r>
      <w:r>
        <w:rPr>
          <w:rFonts w:ascii="NimbusRomNo9L-Regu" w:hAnsi="NimbusRomNo9L-Regu" w:cs="NimbusRomNo9L-Regu"/>
          <w:sz w:val="24"/>
          <w:szCs w:val="24"/>
        </w:rPr>
        <w:t xml:space="preserve">-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gerador de </w:t>
      </w:r>
      <w:proofErr w:type="spellStart"/>
      <w:r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é responsável pela geração automática do código-fonte de um tipo diferente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entre componentes remotos. O módulo Gerador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faz uso de um tipo específico de Gerador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para enxertar nos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código que promove a interconexão remota.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DEEEE8" wp14:editId="7D8000A3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mostra o funcionamento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. Neste cenário o usuário deseja interconectar os componentes “A” e “B”, desenvolvidos respectivamente em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 xml:space="preserve"> e Fractal. O componente “A” é tratado aqui como componente cliente pois requisita os serviços do componente servidor “B” de modo remoto.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detalhamento deste processo de funcionamento para o exemplo da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é descrito a seguir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- Do lado do componente cliente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(1C)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cliente, necessário para promover a interoperabilidade,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2C.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5C,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(2C)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Proxies </w:t>
      </w:r>
      <w:r>
        <w:rPr>
          <w:rFonts w:ascii="NimbusRomNo9L-Regu" w:hAnsi="NimbusRomNo9L-Regu" w:cs="NimbusRomNo9L-Regu"/>
          <w:sz w:val="24"/>
          <w:szCs w:val="24"/>
        </w:rPr>
        <w:t xml:space="preserve">(GP) do modelo de componentes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“X”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(3C)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proofErr w:type="spellStart"/>
      <w:r w:rsidRPr="001321FD">
        <w:rPr>
          <w:rFonts w:ascii="NimbusRomNo9L-ReguItal" w:hAnsi="NimbusRomNo9L-ReguItal" w:cs="NimbusRomNo9L-ReguItal"/>
          <w:i/>
          <w:sz w:val="24"/>
          <w:szCs w:val="24"/>
        </w:rPr>
        <w:t>bindings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(GB) do RMI para gerar automaticamente a parte do código do componente “X”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(4C) O GP armazena no RP o componente “X”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(5C)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(6C) O MP obtém e inicializa o componente “X” do lado cliente no ambiente de execução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conectando o receptáculo do componente “A” à interface provida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“X”.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“X” do lado cliente representa o componente “B” no lado cliente e tem seus serviços requisitados pelo componente “A”.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servidor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(1S)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servidor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2S.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5S,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(2S)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GP do modelo de componentes Fractal para gerar automaticamente o código do componente “Y”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(também chamado de </w:t>
      </w:r>
      <w:proofErr w:type="spellStart"/>
      <w:r w:rsidRPr="005A397F">
        <w:rPr>
          <w:rFonts w:ascii="NimbusRomNo9L-ReguItal" w:hAnsi="NimbusRomNo9L-ReguItal" w:cs="NimbusRomNo9L-ReguItal"/>
          <w:i/>
          <w:sz w:val="24"/>
          <w:szCs w:val="24"/>
        </w:rPr>
        <w:t>skeleton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) </w:t>
      </w:r>
      <w:r w:rsidRPr="005A397F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(3S)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GB do RMI para gerar automaticamente a parte do código do componente “Y”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(4S) O GP armazena no RP o componente “Y”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(5S)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(6S) O MP obtém e inicializa o componente “Y” do lado servidor no ambiente de execução Fractal conectando o receptáculo do </w:t>
      </w:r>
      <w:r>
        <w:rPr>
          <w:rFonts w:ascii="NimbusRomNo9L-Regu" w:hAnsi="NimbusRomNo9L-Regu" w:cs="NimbusRomNo9L-Regu"/>
          <w:i/>
          <w:sz w:val="24"/>
          <w:szCs w:val="24"/>
        </w:rPr>
        <w:t>proxy</w:t>
      </w:r>
      <w:r>
        <w:rPr>
          <w:rFonts w:ascii="NimbusRomNo9L-Regu" w:hAnsi="NimbusRomNo9L-Regu" w:cs="NimbusRomNo9L-Regu"/>
          <w:sz w:val="24"/>
          <w:szCs w:val="24"/>
        </w:rPr>
        <w:t xml:space="preserve"> “Y” à interface provida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componente </w:t>
      </w:r>
      <w:r>
        <w:rPr>
          <w:rFonts w:ascii="NimbusRomNo9L-Regu" w:hAnsi="NimbusRomNo9L-Regu" w:cs="NimbusRomNo9L-Regu"/>
          <w:sz w:val="24"/>
          <w:szCs w:val="24"/>
        </w:rPr>
        <w:t xml:space="preserve">“B”.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“Y” do lado servidor representa o componente “A” no lado servidor que requisita os serviços do componente “B”.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D4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A55C8F" wp14:editId="0CDCB0CB">
            <wp:extent cx="5400040" cy="21340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 xml:space="preserve">.png} – </w:t>
      </w:r>
      <w:r>
        <w:rPr>
          <w:rFonts w:ascii="Arial" w:hAnsi="Arial" w:cs="Arial"/>
          <w:sz w:val="24"/>
          <w:szCs w:val="24"/>
        </w:rPr>
        <w:t xml:space="preserve">Funcionamento </w:t>
      </w:r>
      <w:r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Pr="006A6B57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>
        <w:rPr>
          <w:rFonts w:ascii="Arial" w:hAnsi="Arial" w:cs="Arial"/>
          <w:i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 xml:space="preserve"> “X” para o componente </w:t>
      </w:r>
      <w:proofErr w:type="spellStart"/>
      <w:r>
        <w:rPr>
          <w:rFonts w:ascii="Arial" w:hAnsi="Arial" w:cs="Arial"/>
          <w:i/>
          <w:sz w:val="24"/>
          <w:szCs w:val="24"/>
        </w:rPr>
        <w:t>skeleton</w:t>
      </w:r>
      <w:proofErr w:type="spellEnd"/>
      <w:r>
        <w:rPr>
          <w:rFonts w:ascii="Arial" w:hAnsi="Arial" w:cs="Arial"/>
          <w:sz w:val="24"/>
          <w:szCs w:val="24"/>
        </w:rPr>
        <w:t xml:space="preserve"> “Y” e este por sua vez repassa para o componente “B”. A resposta dessa requisição é feita pelo caminho inverso, de “B” para “Y”, de “Y” para “X” e de “X” para “A”. Na prática, “A” e “X” s</w:t>
      </w:r>
      <w:r w:rsidR="00CC5D01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componentes do modelo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>, assim como “</w:t>
      </w:r>
      <w:r w:rsidR="00CC5D01">
        <w:rPr>
          <w:rFonts w:ascii="Arial" w:hAnsi="Arial" w:cs="Arial"/>
          <w:sz w:val="24"/>
          <w:szCs w:val="24"/>
        </w:rPr>
        <w:t>B” e “Y” são do modelo Fractal. Os componentes “X” e “Y” se comunicam através de RMI, garantindo assim a interoperabilidade entre os componentes “A” e “B”.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3.2 Modularização do </w:t>
      </w:r>
      <w:proofErr w:type="spellStart"/>
      <w:r>
        <w:rPr>
          <w:rFonts w:ascii="Arial" w:hAnsi="Arial" w:cs="Arial"/>
          <w:sz w:val="28"/>
        </w:rPr>
        <w:t>InteropFrame</w:t>
      </w:r>
      <w:proofErr w:type="spellEnd"/>
    </w:p>
    <w:p w:rsidR="00992C8E" w:rsidRDefault="00992C8E" w:rsidP="00992C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foi desenvolvido em Java, de forma a permitir a extensibilidade para novos modelos de componentes e de </w:t>
      </w:r>
      <w:proofErr w:type="spellStart"/>
      <w:r>
        <w:rPr>
          <w:rFonts w:ascii="Arial" w:hAnsi="Arial" w:cs="Arial"/>
          <w:i/>
          <w:sz w:val="24"/>
        </w:rPr>
        <w:t>bindings</w:t>
      </w:r>
      <w:proofErr w:type="spellEnd"/>
      <w:r>
        <w:rPr>
          <w:rFonts w:ascii="Arial" w:hAnsi="Arial" w:cs="Arial"/>
          <w:sz w:val="24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específico. Com o desenvolvimento de novos plug-ins a ferramenta passa a suportar novos modelos.</w:t>
      </w:r>
    </w:p>
    <w:p w:rsidR="000E40B6" w:rsidRDefault="000E40B6" w:rsidP="00992C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3.3 Solução de comunicação do configurador distribuído</w:t>
      </w:r>
    </w:p>
    <w:p w:rsidR="000F47C4" w:rsidRDefault="00992C8E" w:rsidP="00992C8E"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proofErr w:type="spellEnd"/>
    </w:p>
    <w:sectPr w:rsidR="000F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8E"/>
    <w:rsid w:val="000E40B6"/>
    <w:rsid w:val="000F47C4"/>
    <w:rsid w:val="00900185"/>
    <w:rsid w:val="00992C8E"/>
    <w:rsid w:val="00C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263FF-60A2-41AF-955A-378713F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1020</Words>
  <Characters>5513</Characters>
  <Application>Microsoft Office Word</Application>
  <DocSecurity>0</DocSecurity>
  <Lines>45</Lines>
  <Paragraphs>13</Paragraphs>
  <ScaleCrop>false</ScaleCrop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4</cp:revision>
  <dcterms:created xsi:type="dcterms:W3CDTF">2014-05-27T15:17:00Z</dcterms:created>
  <dcterms:modified xsi:type="dcterms:W3CDTF">2014-05-28T12:52:00Z</dcterms:modified>
</cp:coreProperties>
</file>