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4"/>
          <w:szCs w:val="24"/>
          <w:color w:val="000000"/>
        </w:rPr>
        <w:t xml:space="preserve">Material suplementario</w:t>
      </w:r>
    </w:p>
    <w:p>
      <w:pPr>
        <w:pStyle w:val="Normal"/>
        <w:jc w:val="center"/>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true"/>
          <w:b w:val="false"/>
          <w:u w:val="none"/>
          <w:strike w:val="false"/>
          <w:sz w:val="20"/>
          <w:szCs w:val="20"/>
          <w:color w:val="000000"/>
        </w:rPr>
        <w:t xml:space="preserve">Estimación bayesiana de área pequeña de la cascada de atención de la hipertensión arterial en los municipios de México: análisis de la ENSANUT Continua 2021-2024</w:t>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S1. Diagnósticos del modelo por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765"/>
        <w:gridCol w:w="694"/>
        <w:gridCol w:w="489"/>
        <w:gridCol w:w="849"/>
        <w:gridCol w:w="396"/>
        <w:gridCol w:w="605"/>
        <w:gridCol w:w="578"/>
        <w:gridCol w:w="1080"/>
        <w:gridCol w:w="885"/>
        <w:gridCol w:w="929"/>
      </w:tblGrid>
      <w:tr>
        <w:trPr>
          <w:trHeight w:val="18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(denominador)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n (modelo)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Municipios (muestra)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Phi (mediana)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BYM2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RMSE simple (no ajustado)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Reducción RMSE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Cobertura nacional (%)</w:t>
            </w:r>
          </w:p>
        </w:tc>
      </w:tr>
      <w:tr>
        <w:trPr>
          <w:trHeight w:val="17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7 756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7 748</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9232,3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0,105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0,2071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0,2231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7,2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99,5</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11 589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14291,0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98,8</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99,6</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5615,5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98,8</w:t>
            </w:r>
          </w:p>
        </w:tc>
      </w:tr>
      <w:tr>
        <w:trPr>
          <w:trHeight w:val="17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4 380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5872,3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0,2881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8"/>
                <w:szCs w:val="8"/>
                <w:color w:val="000000"/>
              </w:rPr>
            </w:pPr>
            <w:r>
              <w:rPr>
                <w:rFonts w:ascii="Arial" w:hAnsi="Arial" w:eastAsia="Arial" w:cs="Arial"/>
                <w:i w:val="false"/>
                <w:b w:val="false"/>
                <w:u w:val="none"/>
                <w:strike w:val="false"/>
                <w:sz w:val="8"/>
                <w:szCs w:val="8"/>
                <w:color w:val="000000"/>
              </w:rPr>
              <w:t xml:space="preserve">98,8</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WAIC: Watanabe-Akaike Information Criterion. Phi: fracción de varianza espacial del modelo BYM2 (Besag-York-Mollié tipo 2). RMSE: raíz del error cuadrático medio, validación cruzada espacial de 5 pliegues. ESH: European Society of Hypertension (criterio 2023, ≥140/90 mmHg). AHA: American College of Cardiology/American Heart Association (criterio 2025, ≥130/80 mmHg).</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S2. Efecto de calibrar el ponderador de la submuestra con presión arterial medida, y validación contra el ponderador de tensión arterial que la encuesta publica para 2023.</w:t>
      </w:r>
    </w:p>
    <w:tbl xmlns:a="http://schemas.openxmlformats.org/drawingml/2006/main" xmlns:pic="http://schemas.openxmlformats.org/drawingml/2006/picture">
      <w:tblPr>
        <w:tblLayout w:type="fixed"/>
        <w:jc w:val="center"/>
        <w:tblLook w:firstRow="1" w:lastRow="0" w:firstColumn="0" w:lastColumn="0" w:noHBand="0" w:noVBand="1"/>
      </w:tblPr>
      <w:tblGrid>
        <w:gridCol w:w="1367"/>
        <w:gridCol w:w="927"/>
        <w:gridCol w:w="840"/>
        <w:gridCol w:w="894"/>
        <w:gridCol w:w="1147"/>
        <w:gridCol w:w="2088"/>
        <w:gridCol w:w="1207"/>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Sin calibrar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Diferencia (pp)</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calibrado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ponderador de la encuesta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2023: diferencia (pp)</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Prevalencia HTA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27,4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16"/>
          <w:szCs w:val="16"/>
          <w:color w:val="000000"/>
        </w:rPr>
        <w:t xml:space="preserve">Estimaciones nacionales directas con diseño muestral complejo. 'Sin calibrar' usa el ponderador original del módulo de adultos; 'calibrado' lo ajusta por post-estratificación dentro de celdas de año, estrato de urbanidad, sexo y grupo quinquenal de edad, tomando como marco la población adulta elegible de cada ronda. Las tres últimas columnas comparan, solo para 2023 —la única ronda que lo distribuye—, el ponderador calibrado contra el ponderador propio del módulo de tensión arterial. pp: puntos porcentuales.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S3. Efecto del año de la ronda en cada paso de la cascada.</w:t>
      </w:r>
    </w:p>
    <w:tbl xmlns:a="http://schemas.openxmlformats.org/drawingml/2006/main" xmlns:pic="http://schemas.openxmlformats.org/drawingml/2006/picture">
      <w:tblPr>
        <w:tblLayout w:type="fixed"/>
        <w:jc w:val="center"/>
        <w:tblLook w:firstRow="1" w:lastRow="0" w:firstColumn="0" w:lastColumn="0" w:noHBand="0" w:noVBand="1"/>
      </w:tblPr>
      <w:tblGrid>
        <w:gridCol w:w="1567"/>
        <w:gridCol w:w="651"/>
        <w:gridCol w:w="1389"/>
        <w:gridCol w:w="1131"/>
      </w:tblGrid>
      <w:tr>
        <w:trPr>
          <w:trHeight w:val="426"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Año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RM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IC excluye 1</w:t>
            </w:r>
          </w:p>
        </w:tc>
      </w:tr>
      <w:tr>
        <w:trPr>
          <w:trHeight w:val="416"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0,83 (0,73-0,95)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 (0,89-1,26)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1,20 (1,03-1,40)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0,90 (0,82-1,00)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 (0,94-1,24)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 (1,04-1,32)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 (0,90-1,37)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0,80 (0,61-1,05)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0,87 (0,69-1,10)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0,93 (0,79-1,08)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0,94 (0,76-1,16)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 (1,19-1,73)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0,96 (0,82-1,13)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1,07 (0,86-1,32)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no</w:t>
            </w:r>
          </w:p>
        </w:tc>
      </w:tr>
      <w:tr>
        <w:trPr>
          <w:trHeight w:val="4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1,47 (1,23-1,76)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sí</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Razón de momios (RM) de cada año frente al año de referencia (2021), del efecto fijo de año incluido en los cinco modelos. Se reporta porque el diseño de ENSANUT rota los municipios entre rondas y la mayoría se observa en un solo año: sin este término, el efecto espacial absorbería la diferencia temporal y la presentaría como diferencia entre lugares. La estimación municipal publicada corresponde al promedio del periodo 2021-2024.</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S4. Selección de covariables de área: mejora predictiva con su incertidumbre, y coeficiente posterior de las seleccionadas.</w:t>
      </w:r>
    </w:p>
    <w:tbl xmlns:a="http://schemas.openxmlformats.org/drawingml/2006/main" xmlns:pic="http://schemas.openxmlformats.org/drawingml/2006/picture">
      <w:tblPr>
        <w:tblLayout w:type="fixed"/>
        <w:jc w:val="center"/>
        <w:tblLook w:firstRow="1" w:lastRow="0" w:firstColumn="0" w:lastColumn="0" w:noHBand="0" w:noVBand="1"/>
      </w:tblPr>
      <w:tblGrid>
        <w:gridCol w:w="1094"/>
        <w:gridCol w:w="1681"/>
        <w:gridCol w:w="500"/>
        <w:gridCol w:w="340"/>
        <w:gridCol w:w="760"/>
        <w:gridCol w:w="1574"/>
        <w:gridCol w:w="1054"/>
      </w:tblGrid>
      <w:tr>
        <w:trPr>
          <w:trHeight w:val="234"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Covariable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ΔWAIC / EE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β (IC 95%)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RM (IC 95%)</w:t>
            </w:r>
          </w:p>
        </w:tc>
      </w:tr>
      <w:tr>
        <w:trPr>
          <w:trHeight w:val="224"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-8,93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-1,53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-0,0074 (-0,0116 a -0,0032)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0,93 (0,89 a 0,97)</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-0,0060 (-0,0094 a -0,0025)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0,94 (0,91 a 0,98)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0,0004 (-0,0002 a 0,0010)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 (0,98 a 1,11)</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-0,0056 (-0,0109 a -0,0005)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0,95 (0,90 a 0,99)</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0,0008 (0,0000 a 0,0015)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1,08 (1,00 a 1,16)</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Pobreza municipal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-0,0080 (-0,0138 a -0,0023)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0,92 (0,87 a 0,98)</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de salud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0,0004 (-0,0004 a 0,0012)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1,04 (0,96 a 1,12)</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Establecimientos públicos (n)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r>
        <w:trPr>
          <w:trHeight w:val="2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Altitud media (msnm)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no seleccionada</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ΔWAIC: cambio del WAIC al añadir la covariable al modelo base (valores negativos indican mejor ajuste predictivo); EE: su error estándar, calculado a partir de las contribuciones punto por punto de ambos modelos sobre las mismas observaciones. El umbral preespecificado de inclusión fue ΔWAIC ≤ -2; ninguna mejora alcanza dos errores estándar (la mayor razón |ΔWAIC|/EE entre las mejoras es 1,7), de modo que las ganancias predictivas son pequeñas frente a su propia incertidumbre y la elección de especificación apenas altera las estimaciones municipales. Las dos razones que superan 2 corresponden a la altitud en control-ESH y control-AHA, y son deterioros del ajuste (ΔWAIC positivo) de magnitud pequeña pero estimados con precisión. β: coeficiente posterior en la escala del logit, sólo para las covariables que el protocolo seleccionó. RM: la misma estimación como razón de momios, por cada 10 puntos porcentuales de pobreza municipal y por cada 100 establecimientos de salud. Las afirmaciones de asociación del texto se apoyan en el coeficiente y su intervalo, no en el ΔWAIC.</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S5. Verificación de los supuestos de los modelos finales.</w:t>
      </w:r>
    </w:p>
    <w:tbl xmlns:a="http://schemas.openxmlformats.org/drawingml/2006/main" xmlns:pic="http://schemas.openxmlformats.org/drawingml/2006/picture">
      <w:tblPr>
        <w:tblLayout w:type="fixed"/>
        <w:jc w:val="center"/>
        <w:tblLook w:firstRow="1" w:lastRow="0" w:firstColumn="0" w:lastColumn="0" w:noHBand="0" w:noVBand="1"/>
      </w:tblPr>
      <w:tblGrid>
        <w:gridCol w:w="1402"/>
        <w:gridCol w:w="1784"/>
        <w:gridCol w:w="1387"/>
        <w:gridCol w:w="1573"/>
        <w:gridCol w:w="1469"/>
        <w:gridCol w:w="966"/>
      </w:tblGrid>
      <w:tr>
        <w:trPr>
          <w:trHeight w:val="40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Paso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VIF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Moran I (residuos)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v: asimetría / curtosis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PIT aleatorizado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Fallos CPO</w:t>
            </w:r>
          </w:p>
        </w:tc>
      </w:tr>
      <w:tr>
        <w:trPr>
          <w:trHeight w:val="39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(ESH)</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0,030 (p=0,226)</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2,17 / 5,20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0,499 (KS p=0,601)</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Diagnóstico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1,09; clues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0,031 (p=0,213)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2,45 / 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0,497 (KS p=0,407)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Tratamiento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sin covariables de área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-0,047 (p=0,856)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-0,74 /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0,501 (KS p=0,545)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(ESH)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1,09; clues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-0,032 (p=0,748)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1,63 / 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0,498 (KS p=0,609)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r>
        <w:trPr>
          <w:trHeight w:val="39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Control (AHA)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pobreza 1,09; clues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-0,011 (p=0,578)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1,13 / 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0,498 (KS p=0,756)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VIF: factor de inflación de la varianza de las covariables de área de cada modelo (&gt;5 indicaría colinealidad); se calcula sobre la especificación que el protocolo seleccionó, no sobre todas las candidatas. Moran I: autocorrelación espacial de los residuos municipales (prevalencia directa menos prevalencia del modelo) en los municipios con muestra; ninguno difiere de cero, de modo que el término BYM2 absorbió la estructura espacial y no queda agrupamiento sin explicar. v: componente NO estructurado del BYM2, el único que el modelo supone gaussiano; se describe con asimetría y exceso de curtosis en vez de una prueba de normalidad, porque con 2 478 áreas cualquier prueba rechaza y porque se aplica sobre medias posteriores, que el encogimiento bayesiano concentra cerca de cero. PIT aleatorizado (Czado et al. 2009): con desenlace binario el PIT sin aleatorizar sigue a la prevalencia y no informa; aleatorizado debe ser uniforme con media 0,5 si el modelo está bien calibrado. Fallos CPO: observaciones cuya predicción dejada-fuera INLA no pudo calcular de forma fiable.</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S6. Comparación de las estimaciones nacionales directas con la literatura nacional publicada sobre los mismos datos.</w:t>
      </w:r>
    </w:p>
    <w:tbl xmlns:a="http://schemas.openxmlformats.org/drawingml/2006/main" xmlns:pic="http://schemas.openxmlformats.org/drawingml/2006/picture">
      <w:tblPr>
        <w:tblLayout w:type="fixed"/>
        <w:jc w:val="center"/>
        <w:tblLook w:firstRow="1" w:lastRow="0" w:firstColumn="0" w:lastColumn="0" w:noHBand="0" w:noVBand="1"/>
      </w:tblPr>
      <w:tblGrid>
        <w:gridCol w:w="2997"/>
        <w:gridCol w:w="1618"/>
        <w:gridCol w:w="2063"/>
        <w:gridCol w:w="1156"/>
      </w:tblGrid>
      <w:tr>
        <w:trPr>
          <w:trHeight w:val="282"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Este estudio (directa)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Campos-Nonato et al.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Diferencia (pp)</w:t>
            </w:r>
          </w:p>
        </w:tc>
      </w:tr>
      <w:tr>
        <w:trPr>
          <w:trHeight w:val="272"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Prevalencia HTA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 (26,3-28,5)</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29,1-29,4%</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 a -2,0</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Diagnóstico previo (entre HTA)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65,8% (63,6-67,9)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Control (entre diagnosticados y tratados)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63,8% (61,1-66,4)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HTA: hipertensión arterial. pp: puntos porcentuales. Las cifras de este estudio son estimaciones directas con diseño muestral complejo, no estimaciones suavizadas del modelo. Campos-Nonato et al. 2025 (Salud Publica Mex 2025;67(6):633-643) reporta la prevalencia como 29,1% en una parte de su texto y 29,4% en otra; por eso se cita como rango. Las tres diferencias metodológicas que explican el sentido de las brechas se detallan en Resultados.</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Tabla S7. Conectividad del grafo de vecindad municipal empleado en el término espacial BYM2.</w:t>
      </w:r>
    </w:p>
    <w:tbl xmlns:a="http://schemas.openxmlformats.org/drawingml/2006/main" xmlns:pic="http://schemas.openxmlformats.org/drawingml/2006/picture">
      <w:tblPr>
        <w:tblLayout w:type="fixed"/>
        <w:jc w:val="center"/>
        <w:tblLook w:firstRow="1" w:lastRow="0" w:firstColumn="0" w:lastColumn="0" w:noHBand="0" w:noVBand="1"/>
      </w:tblPr>
      <w:tblGrid>
        <w:gridCol w:w="5344"/>
        <w:gridCol w:w="701"/>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Indicador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Valor</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en el grafo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2 478</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sin vecinos (componentes aisladas)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mínimo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mediana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 por municipio: 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Conexiones añadidas por el respaldo de centroide más próximo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Municipios insulares y sus colindantes:</w:t>
      </w:r>
    </w:p>
    <w:tbl xmlns:a="http://schemas.openxmlformats.org/drawingml/2006/main" xmlns:pic="http://schemas.openxmlformats.org/drawingml/2006/picture">
      <w:tblPr>
        <w:tblLayout w:type="fixed"/>
        <w:jc w:val="center"/>
        <w:tblLook w:firstRow="1" w:lastRow="0" w:firstColumn="0" w:lastColumn="0" w:noHBand="0" w:noVBand="1"/>
      </w:tblPr>
      <w:tblGrid>
        <w:gridCol w:w="1221"/>
        <w:gridCol w:w="1361"/>
        <w:gridCol w:w="891"/>
        <w:gridCol w:w="2832"/>
      </w:tblGrid>
      <w:tr>
        <w:trPr>
          <w:trHeight w:val="450" w:hRule="auto"/>
          <w:tblHeader/>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Entidad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Vecinos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Municipios colindantes</w:t>
            </w:r>
          </w:p>
        </w:tc>
      </w:tr>
      <w:tr>
        <w:trPr>
          <w:trHeight w:val="440"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Cozumel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Solidaridad, Tulum</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Isla Mujeres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Benito Juárez, Lázaro Cárdenas</w:t>
            </w:r>
          </w:p>
        </w:tc>
      </w:tr>
    </w:tbl>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true"/>
          <w:b w:val="false"/>
          <w:u w:val="none"/>
          <w:strike w:val="false"/>
          <w:sz w:val="20"/>
          <w:szCs w:val="20"/>
          <w:color w:val="000000"/>
        </w:rPr>
        <w:t xml:space="preserve">El grafo se construyó con contigüidad tipo "reina" sobre la capa municipal 1:4 000 000 del INEGI. Ningún municipio quedó sin vecinos, de modo que el grafo tiene una sola componente conexa y el término ICAR del modelo BYM2 queda bien definido para los 2478 municipios. Los dos municipios insulares de Quintana Roo tampoco quedaron aislados: a la escala de generalización de esa capa, sus polígonos colindan con los municipios costeros contiguos, que son los mismos que se les asignaría por proximidad. El procedimiento de respaldo previsto en el código —conectar un municipio sin vecinos con aquel cuyo centroide esté más próximo— no llegó a aplicarse en ningún caso.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S1. Validación cruzada espacial (5 pliegues).</w:t>
      </w:r>
    </w:p>
    <w:p>
      <w:pPr>
        <w:pStyle w:val="Normal"/>
      </w:pPr>
      <w:r>
        <w:rPr/>
        <w:drawing>
          <wp:inline distT="0" distB="0" distL="0" distR="0">
            <wp:extent cx="5486400" cy="41148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486400" cy="411480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Validación cruzada espacial de 5 pliegues: calibración observado-vs-predicho y reducción de RMSE frente a un promedio nacional simple no ajustado, por paso.</w:t>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160" w:line="240"/>
        <w:ind w:left="0" w:right="0" w:firstLine="0" w:firstLineChars="0"/>
      </w:pPr>
      <w:r>
        <w:rPr>
          <w:rFonts w:ascii="Arial" w:hAnsi="Arial" w:eastAsia="Arial" w:cs="Arial"/>
          <w:i w:val="false"/>
          <w:b w:val="true"/>
          <w:u w:val="none"/>
          <w:strike w:val="false"/>
          <w:sz w:val="22"/>
          <w:szCs w:val="22"/>
          <w:color w:val="000000"/>
        </w:rPr>
        <w:t xml:space="preserve">Figura S2. Ancho del intervalo de credibilidad al 95% (criterio ESH).</w:t>
      </w:r>
    </w:p>
    <w:p>
      <w:pPr>
        <w:pStyle w:val="Normal"/>
      </w:pPr>
      <w:r>
        <w:rPr/>
        <w:drawing>
          <wp:inline distT="0" distB="0" distL="0" distR="0">
            <wp:extent cx="5486400" cy="24688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486400" cy="2468880"/>
                    </a:xfrm>
                    <a:prstGeom prst="rect">
                      <a:avLst/>
                    </a:prstGeom>
                    <a:noFill/>
                  </pic:spPr>
                </pic:pic>
              </a:graphicData>
            </a:graphic>
          </wp:inline>
        </w:drawing>
      </w:r>
    </w:p>
    <w:p>
      <w:pPr>
        <w:pStyle w:val="Normal"/>
        <w:jc w:val="both"/>
        <w:pBdr>
          <w:bottom w:val="none" w:sz="0" w:space="0" w:color="000000"/>
          <w:top w:val="none" w:sz="0" w:space="0" w:color="000000"/>
          <w:left w:val="none" w:sz="0" w:space="0" w:color="000000"/>
          <w:right w:val="none" w:sz="0" w:space="0" w:color="000000"/>
        </w:pBdr>
        <w:spacing w:after="0" w:before="0" w:line="360"/>
        <w:ind w:left="0" w:right="0" w:firstLine="0" w:firstLineChars="0"/>
      </w:pPr>
      <w:r>
        <w:rPr>
          <w:rFonts w:ascii="Arial" w:hAnsi="Arial" w:eastAsia="Arial" w:cs="Arial"/>
          <w:i w:val="false"/>
          <w:b w:val="false"/>
          <w:u w:val="none"/>
          <w:strike w:val="false"/>
          <w:sz w:val="18"/>
          <w:szCs w:val="18"/>
          <w:color w:val="000000"/>
        </w:rPr>
        <w:t xml:space="preserve">Ancho del intervalo de credibilidad al 95% por municipio (diagnóstico, tratamiento, control), criterio ESH — mapa complementario de incertidumbre, siguiendo la práctica de The DHS Program para superficies modeladas (Burgert-Brucker et al. 2016).</w:t>
      </w:r>
    </w:p>
    <w:sectPr>
      <w:pgMar w:header="708" w:bottom="1417" w:top="1417" w:right="1701" w:left="1701" w:footer="708" w:gutter="0"/>
      <w:pgSz w:h="15840" w:w="12240"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8f66163d19ee8b4220d243793784e1a7558187a5.png"/>
<Relationship Id="rId8" Type="http://schemas.openxmlformats.org/officeDocument/2006/relationships/image" Target="media/a950c09cb8628d52444a3dfc4fae309f1b17f07a.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2026-08-05T23:02:44Z</dcterms:modified>
  <cp:category/>
</cp:coreProperties>
</file>