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4"/>
          <w:szCs w:val="24"/>
          <w:color w:val="000000"/>
        </w:rPr>
        <w:t xml:space="preserve">Material suplementario</w:t>
      </w:r>
    </w:p>
    <w:p>
      <w:pPr>
        <w:pStyle w:val="Normal"/>
        <w:jc w:val="center"/>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true"/>
          <w:b w:val="false"/>
          <w:u w:val="none"/>
          <w:strike w:val="false"/>
          <w:sz w:val="20"/>
          <w:szCs w:val="20"/>
          <w:color w:val="000000"/>
        </w:rPr>
        <w:t xml:space="preserve">Estimación bayesiana de área pequeña de la cascada de atención de la hipertensión arterial en los municipios de México: análisis de la ENSANUT Continua 2021-2024</w:t>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S1. Diagnósticos del modelo por paso de la cascada.</w:t>
      </w:r>
    </w:p>
    <w:tbl xmlns:a="http://schemas.openxmlformats.org/drawingml/2006/main" xmlns:pic="http://schemas.openxmlformats.org/drawingml/2006/picture">
      <w:tblPr>
        <w:tblLayout w:type="fixed"/>
        <w:jc w:val="center"/>
        <w:tblLook w:firstRow="1" w:lastRow="0" w:firstColumn="0" w:lastColumn="0" w:noHBand="0" w:noVBand="1"/>
      </w:tblPr>
      <w:tblGrid>
        <w:gridCol w:w="765"/>
        <w:gridCol w:w="694"/>
        <w:gridCol w:w="489"/>
        <w:gridCol w:w="849"/>
        <w:gridCol w:w="396"/>
        <w:gridCol w:w="605"/>
        <w:gridCol w:w="578"/>
        <w:gridCol w:w="1080"/>
        <w:gridCol w:w="885"/>
        <w:gridCol w:w="929"/>
      </w:tblGrid>
      <w:tr>
        <w:trPr>
          <w:trHeight w:val="18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n (denominador)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n (modelo)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Municipios (muestra)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WAIC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Phi (mediana)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RMSE BYM2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RMSE simple (no ajustado)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Reducción RMSE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Cobertura nacional (%)</w:t>
            </w:r>
          </w:p>
        </w:tc>
      </w:tr>
      <w:tr>
        <w:trPr>
          <w:trHeight w:val="17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7 735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7 735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9297,8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0,051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0,2308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0,2469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11 597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11 597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13911,5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0,1949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4205,8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5664,5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99,5</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0,3024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99,5</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WAIC: Watanabe-Akaike Information Criterion. Phi: fracción de varianza espacial del modelo BYM2 (Besag-York-Mollié tipo 2). RMSE: raíz del error cuadrático medio, validación cruzada espacial de 5 pliegues. ESH: European Society of Hypertension (criterio 2023, ≥140/90 mmHg). AHA: American College of Cardiology/American Heart Association (criterio 2025, ≥130/80 mmHg).</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S2. Sensibilidad al ponderador. Panel A: efecto de calibrar el ponderador de la submuestra con presión arterial medida, y validación contra el ponderador de tensión arterial que la encuesta publica para 2023.</w:t>
      </w:r>
    </w:p>
    <w:tbl xmlns:a="http://schemas.openxmlformats.org/drawingml/2006/main" xmlns:pic="http://schemas.openxmlformats.org/drawingml/2006/picture">
      <w:tblPr>
        <w:tblLayout w:type="fixed"/>
        <w:jc w:val="center"/>
        <w:tblLook w:firstRow="1" w:lastRow="0" w:firstColumn="0" w:lastColumn="0" w:noHBand="0" w:noVBand="1"/>
      </w:tblPr>
      <w:tblGrid>
        <w:gridCol w:w="1339"/>
        <w:gridCol w:w="653"/>
        <w:gridCol w:w="596"/>
        <w:gridCol w:w="631"/>
        <w:gridCol w:w="800"/>
        <w:gridCol w:w="1428"/>
        <w:gridCol w:w="1009"/>
        <w:gridCol w:w="947"/>
      </w:tblGrid>
      <w:tr>
        <w:trPr>
          <w:trHeight w:val="18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Sin calibrar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Calibrado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Diferencia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2023: calibrado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2023: ponderador de la encuesta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2023: dif. sin calibrar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2023: dif. calibrado (pp)</w:t>
            </w:r>
          </w:p>
        </w:tc>
      </w:tr>
      <w:tr>
        <w:trPr>
          <w:trHeight w:val="17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Prevalencia HTA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28,4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27,3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29,9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30,2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0,62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0,38</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0,23</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-0,13</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-0,83</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-1,04</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Promedio de la diferencia absoluta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0,48</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Estimaciones nacionales directas con diseño muestral complejo. 'Sin calibrar' usa el ponderador original del módulo de adultos; 'calibrado' lo ajusta por post-estratificación dentro de celdas de año, estrato de urbanidad, sexo y grupo quinquenal de edad, tomando como marco la población adulta elegible de cada ronda. Las cuatro últimas columnas comparan, solo para 2023 —la única ronda que lo distribuye—, el ponderador calibrado y el original contra el ponderador propio del módulo de tensión arterial; la diferencia es (estimación con nuestro ponderador − estimación con el ponderador de la encuesta). La fila final promedia el valor absoluto de esas diferencias en los 6 indicadores con dato de 2023: calibrar la reduce de 0,92 a 0,48 pp. pp: puntos porcentuales.</w:t>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S2, panel B. Modelo principal ponderado frente al ajuste sin ponderar en los cinco desenlaces, con el desglose por tamaño muestral municipal.</w:t>
      </w:r>
    </w:p>
    <w:tbl xmlns:a="http://schemas.openxmlformats.org/drawingml/2006/main" xmlns:pic="http://schemas.openxmlformats.org/drawingml/2006/picture">
      <w:tblPr>
        <w:tblLayout w:type="fixed"/>
        <w:jc w:val="center"/>
        <w:tblLook w:firstRow="1" w:lastRow="0" w:firstColumn="0" w:lastColumn="0" w:noHBand="0" w:noVBand="1"/>
      </w:tblPr>
      <w:tblGrid>
        <w:gridCol w:w="600"/>
        <w:gridCol w:w="480"/>
        <w:gridCol w:w="413"/>
        <w:gridCol w:w="1127"/>
        <w:gridCol w:w="547"/>
        <w:gridCol w:w="440"/>
        <w:gridCol w:w="923"/>
        <w:gridCol w:w="1010"/>
        <w:gridCol w:w="957"/>
        <w:gridCol w:w="573"/>
      </w:tblGrid>
      <w:tr>
        <w:trPr>
          <w:trHeight w:val="16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Desenlace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Municipios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Correlación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Mediana de la diferencia absoluta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Percentil 95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Máximo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Mediana con n ≤9 (municipios)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Mediana con n 10-29 (municipios)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Mediana con n ≥30 (municipios)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Cumple el criterio</w:t>
            </w:r>
          </w:p>
        </w:tc>
      </w:tr>
      <w:tr>
        <w:trPr>
          <w:trHeight w:val="15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589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0,90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3,50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9,44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18,79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3,27 (351)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4,27 (188)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3,58 (50)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no</w:t>
            </w:r>
          </w:p>
        </w:tc>
      </w:tr>
      <w:tr>
        <w:trPr>
          <w:trHeight w:val="15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2,18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2,96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3,67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no</w:t>
            </w:r>
          </w:p>
        </w:tc>
      </w:tr>
      <w:tr>
        <w:trPr>
          <w:trHeight w:val="15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2,04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2,98 (115)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2,36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no</w:t>
            </w:r>
          </w:p>
        </w:tc>
      </w:tr>
      <w:tr>
        <w:trPr>
          <w:trHeight w:val="15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2,27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3,80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2,41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no</w:t>
            </w:r>
          </w:p>
        </w:tc>
      </w:tr>
      <w:tr>
        <w:trPr>
          <w:trHeight w:val="15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2,36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3,30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4,55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no</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Se reajustaron los cinco modelos sin ponderar, con las mismas filas, fórmulas y previas que el modelo principal. La diferencia es la del valor absoluto de la prevalencia municipal suavizada (ponderado − sin ponderar), en puntos porcentuales (pp), sobre los municipios con muestra directa. n: número de encuestados del municipio en el denominador de ese paso; entre paréntesis, el número de municipios de cada estrato. El criterio fijado de antemano para considerar coherentes ambos ajustes fue una mediana absoluta menor de 2 pp y una correlación mayor de 0,95; no se cumplió en ningún desenlace, y la diferencia no desaparece en los municipios con n ≥30, por lo que el modelo ponderado se mantuvo como principal.</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S3. Efecto del año de la ronda en cada paso de la cascada.</w:t>
      </w:r>
    </w:p>
    <w:tbl xmlns:a="http://schemas.openxmlformats.org/drawingml/2006/main" xmlns:pic="http://schemas.openxmlformats.org/drawingml/2006/picture">
      <w:tblPr>
        <w:tblLayout w:type="fixed"/>
        <w:jc w:val="center"/>
        <w:tblLook w:firstRow="1" w:lastRow="0" w:firstColumn="0" w:lastColumn="0" w:noHBand="0" w:noVBand="1"/>
      </w:tblPr>
      <w:tblGrid>
        <w:gridCol w:w="1567"/>
        <w:gridCol w:w="607"/>
        <w:gridCol w:w="1389"/>
        <w:gridCol w:w="1131"/>
      </w:tblGrid>
      <w:tr>
        <w:trPr>
          <w:trHeight w:val="42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Año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RM (IC 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IC excluye 1</w:t>
            </w:r>
          </w:p>
        </w:tc>
      </w:tr>
      <w:tr>
        <w:trPr>
          <w:trHeight w:val="41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 (0,72-0,96)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(0,86-1,21)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(1,23-1,69)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(0,78-0,99)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(0,92-1,22)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(1,13-1,46)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(0,84-1,33)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 (0,55-0,94)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 (0,58-0,94)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 (0,81-1,15)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 (0,75-1,13)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(1,18-1,72)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(0,87-1,23)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(0,87-1,32)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(1,30-1,88)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Razón de momios (RM) de cada año frente al año de referencia (2021), del efecto fijo de año incluido en los cinco modelos. Se reporta porque el diseño de ENSANUT rota los municipios entre rondas y la mayoría se observa en un solo año: sin este término, el efecto espacial absorbería la diferencia temporal y la presentaría como diferencia entre lugares. La estimación municipal publicada corresponde al promedio del periodo 2021-2024.</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S4. Selección de covariables de área: mejora predictiva con su incertidumbre, y coeficiente posterior de las seleccionadas.</w:t>
      </w:r>
    </w:p>
    <w:tbl xmlns:a="http://schemas.openxmlformats.org/drawingml/2006/main" xmlns:pic="http://schemas.openxmlformats.org/drawingml/2006/picture">
      <w:tblPr>
        <w:tblLayout w:type="fixed"/>
        <w:jc w:val="center"/>
        <w:tblLook w:firstRow="1" w:lastRow="0" w:firstColumn="0" w:lastColumn="0" w:noHBand="0" w:noVBand="1"/>
      </w:tblPr>
      <w:tblGrid>
        <w:gridCol w:w="1094"/>
        <w:gridCol w:w="2608"/>
        <w:gridCol w:w="500"/>
        <w:gridCol w:w="340"/>
        <w:gridCol w:w="760"/>
        <w:gridCol w:w="1574"/>
        <w:gridCol w:w="1054"/>
      </w:tblGrid>
      <w:tr>
        <w:trPr>
          <w:trHeight w:val="234"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Covariable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ΔWAIC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ΔWAIC / EE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β (IC 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RM (IC 95%)</w:t>
            </w:r>
          </w:p>
        </w:tc>
      </w:tr>
      <w:tr>
        <w:trPr>
          <w:trHeight w:val="224"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Pobreza municipal (%)</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-1,79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de salud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públicos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de salud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públicos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de salud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públicos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-0,0067 (-0,0129 a -0,0008)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0,93 (0,88 a 0,99)</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de salud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públicos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-0,0058 (-0,0123 a 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0,94 (0,88 a 1,01)</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de salud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públicos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ΔWAIC: cambio del WAIC al añadir la covariable al modelo base (valores negativos indican mejor ajuste predictivo); EE: su error estándar, calculado a partir de las contribuciones punto por punto de ambos modelos sobre las mismas observaciones. El umbral preespecificado de inclusión fue ΔWAIC ≤ -2; ninguna mejora alcanza dos errores estándar (la mayor razón |ΔWAIC|/EE entre las mejoras es 0,69), de modo que las ganancias predictivas son pequeñas frente a su propia incertidumbre y la elección de especificación apenas altera las estimaciones municipales. Las cuatro razones que superan 2 (la densidad de establecimientos en diagnóstico-AHA y en tratamiento, y la altitud en control-ESH y control-AHA) son deterioros del ajuste (ΔWAIC positivo) de magnitud pequeña pero estimados con precisión. β: coeficiente posterior en la escala del logit, sólo para las covariables que el protocolo seleccionó (la pobreza municipal en control). RM: la misma estimación como razón de momios, por cada 10 puntos porcentuales de pobreza municipal. Las afirmaciones de asociación del texto se apoyan en el coeficiente y su intervalo, no en el ΔWAIC.</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S5. Verificación de los supuestos de los modelos finales.</w:t>
      </w:r>
    </w:p>
    <w:tbl xmlns:a="http://schemas.openxmlformats.org/drawingml/2006/main" xmlns:pic="http://schemas.openxmlformats.org/drawingml/2006/picture">
      <w:tblPr>
        <w:tblLayout w:type="fixed"/>
        <w:jc w:val="center"/>
        <w:tblLook w:firstRow="1" w:lastRow="0" w:firstColumn="0" w:lastColumn="0" w:noHBand="0" w:noVBand="1"/>
      </w:tblPr>
      <w:tblGrid>
        <w:gridCol w:w="1402"/>
        <w:gridCol w:w="1690"/>
        <w:gridCol w:w="1387"/>
        <w:gridCol w:w="1573"/>
        <w:gridCol w:w="1469"/>
        <w:gridCol w:w="966"/>
      </w:tblGrid>
      <w:tr>
        <w:trPr>
          <w:trHeight w:val="40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VIF</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Moran I (residuos)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v: asimetría / curtosis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PIT aleatorizado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Fallos CPO</w:t>
            </w:r>
          </w:p>
        </w:tc>
      </w:tr>
      <w:tr>
        <w:trPr>
          <w:trHeight w:val="39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0,024 (p=0,266)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1,94 / 5,43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0,477 (KS p=0,000)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0,038 (p=0,168)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0,56 / 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0,466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-0,056 (p=0,898)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-0,61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0,496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-0,038 (p=0,794)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2,03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0,477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-0,015 (p=0,618)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0,86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0,473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VIF: factor de inflación de la varianza de las covariables de área de cada modelo (&gt;5 indicaría colinealidad); se calcula sobre la especificación que el protocolo seleccionó, no sobre todas las candidatas. Moran I: autocorrelación espacial de los residuos municipales (prevalencia directa menos prevalencia del modelo) en los municipios con muestra; ninguno difiere de cero, de modo que el término BYM2 absorbió la estructura espacial y no queda agrupamiento sin explicar. v: componente NO estructurado del BYM2, el único que el modelo supone gaussiano; se describe con asimetría y exceso de curtosis en vez de una prueba de normalidad, porque con 2 478 áreas cualquier prueba rechaza y porque se aplica sobre medias posteriores, que el encogimiento bayesiano concentra cerca de cero. PIT aleatorizado (Czado et al. 2009): con desenlace binario el PIT sin aleatorizar sigue a la prevalencia y no informa; aleatorizado debe ser uniforme con media 0,5 si el modelo está bien calibrado. Fallos CPO: observaciones cuya predicción dejada-fuera INLA no pudo calcular de forma fiable.</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S6. Comparación de las estimaciones nacionales directas con la literatura nacional publicada sobre los mismos datos.</w:t>
      </w:r>
    </w:p>
    <w:tbl xmlns:a="http://schemas.openxmlformats.org/drawingml/2006/main" xmlns:pic="http://schemas.openxmlformats.org/drawingml/2006/picture">
      <w:tblPr>
        <w:tblLayout w:type="fixed"/>
        <w:jc w:val="center"/>
        <w:tblLook w:firstRow="1" w:lastRow="0" w:firstColumn="0" w:lastColumn="0" w:noHBand="0" w:noVBand="1"/>
      </w:tblPr>
      <w:tblGrid>
        <w:gridCol w:w="2997"/>
        <w:gridCol w:w="1618"/>
        <w:gridCol w:w="2063"/>
        <w:gridCol w:w="1156"/>
      </w:tblGrid>
      <w:tr>
        <w:trPr>
          <w:trHeight w:val="28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Este estudio (directa)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Campos-Nonato et al. 2025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Diferencia (pp)</w:t>
            </w:r>
          </w:p>
        </w:tc>
      </w:tr>
      <w:tr>
        <w:trPr>
          <w:trHeight w:val="27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Prevalencia HTA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(26,2-28,4)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29,1-29,4%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a -2,1</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previo (entre HTA)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(63,8-68,1)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(entre diagnosticados y tratados)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 (61,3-66,7)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HTA: hipertensión arterial. pp: puntos porcentuales. Las cifras de este estudio son estimaciones directas con diseño muestral complejo, no estimaciones suavizadas del modelo. Campos-Nonato et al. 2025 (Salud Publica Mex 2025;67(6):633-643) reporta la prevalencia como 29,1% en una parte de su texto y 29,4% en otra; por eso se cita como rango. Las tres diferencias metodológicas que explican el sentido de las brechas se detallan en Resultados.</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S7. Conectividad del grafo de vecindad municipal empleado en el término espacial BYM2.</w:t>
      </w:r>
    </w:p>
    <w:tbl xmlns:a="http://schemas.openxmlformats.org/drawingml/2006/main" xmlns:pic="http://schemas.openxmlformats.org/drawingml/2006/picture">
      <w:tblPr>
        <w:tblLayout w:type="fixed"/>
        <w:jc w:val="center"/>
        <w:tblLook w:firstRow="1" w:lastRow="0" w:firstColumn="0" w:lastColumn="0" w:noHBand="0" w:noVBand="1"/>
      </w:tblPr>
      <w:tblGrid>
        <w:gridCol w:w="5344"/>
        <w:gridCol w:w="701"/>
      </w:tblGrid>
      <w:tr>
        <w:trPr>
          <w:trHeight w:val="450"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Valor</w:t>
            </w:r>
          </w:p>
        </w:tc>
      </w:tr>
      <w:tr>
        <w:trPr>
          <w:trHeight w:val="44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en el grafo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2 478</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sin vecinos (componentes aisladas)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mínimo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mediana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máximo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Conexiones añadidas por el respaldo de centroide más próximo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Municipios insulares y sus colindantes:</w:t>
      </w:r>
    </w:p>
    <w:tbl xmlns:a="http://schemas.openxmlformats.org/drawingml/2006/main" xmlns:pic="http://schemas.openxmlformats.org/drawingml/2006/picture">
      <w:tblPr>
        <w:tblLayout w:type="fixed"/>
        <w:jc w:val="center"/>
        <w:tblLook w:firstRow="1" w:lastRow="0" w:firstColumn="0" w:lastColumn="0" w:noHBand="0" w:noVBand="1"/>
      </w:tblPr>
      <w:tblGrid>
        <w:gridCol w:w="1221"/>
        <w:gridCol w:w="1361"/>
        <w:gridCol w:w="891"/>
        <w:gridCol w:w="2832"/>
      </w:tblGrid>
      <w:tr>
        <w:trPr>
          <w:trHeight w:val="450"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Entidad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colindantes</w:t>
            </w:r>
          </w:p>
        </w:tc>
      </w:tr>
      <w:tr>
        <w:trPr>
          <w:trHeight w:val="44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Cozumel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Quintana Roo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Solidaridad, Tulum</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Isla Mujeres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Quintana Roo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Benito Juárez, Lázaro Cárdenas</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El grafo se construyó con contigüidad tipo "reina" sobre la capa municipal 1:4 000 000 del INEGI. Ningún municipio quedó sin vecinos, de modo que el grafo tiene una sola componente conexa y el término ICAR del modelo BYM2 queda bien definido para los 2478 municipios. Los dos municipios insulares de Quintana Roo tampoco quedaron aislados: a la escala de generalización de esa capa, sus polígonos colindan con los municipios costeros contiguos, que son los mismos que se les asignaría por proximidad. El procedimiento de respaldo previsto en el código —conectar un municipio sin vecinos con aquel cuyo centroide esté más próximo— no llegó a aplicarse en ningún caso.</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Figura S1. Validación cruzada espacial (5 pliegues).</w:t>
      </w:r>
    </w:p>
    <w:p>
      <w:pPr>
        <w:pStyle w:val="Normal"/>
      </w:pPr>
      <w:r>
        <w:rPr/>
        <w:drawing>
          <wp:inline distT="0" distB="0" distL="0" distR="0">
            <wp:extent cx="5486400" cy="41148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486400" cy="411480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false"/>
          <w:u w:val="none"/>
          <w:strike w:val="false"/>
          <w:sz w:val="18"/>
          <w:szCs w:val="18"/>
          <w:color w:val="000000"/>
        </w:rPr>
        <w:t xml:space="preserve">Validación cruzada espacial de 5 pliegues: calibración observado-vs-predicho y reducción de RMSE frente a un promedio nacional simple no ajustado, por paso.</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Figura S2. Ancho del intervalo de credibilidad al 95% (criterio ESH).</w:t>
      </w:r>
    </w:p>
    <w:p>
      <w:pPr>
        <w:pStyle w:val="Normal"/>
      </w:pPr>
      <w:r>
        <w:rPr/>
        <w:drawing>
          <wp:inline distT="0" distB="0" distL="0" distR="0">
            <wp:extent cx="5486400" cy="246888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486400" cy="246888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false"/>
          <w:u w:val="none"/>
          <w:strike w:val="false"/>
          <w:sz w:val="18"/>
          <w:szCs w:val="18"/>
          <w:color w:val="000000"/>
        </w:rPr>
        <w:t xml:space="preserve">Ancho del intervalo de credibilidad al 95% por municipio (diagnóstico, tratamiento, control), criterio ESH — mapa complementario de incertidumbre, siguiendo la práctica de The DHS Program para superficies modeladas (Burgert-Brucker et al. 2016).</w:t>
      </w:r>
    </w:p>
    <w:sectPr>
      <w:pgMar w:header="708" w:bottom="1417" w:top="1417" w:right="1701" w:left="1701" w:footer="708" w:gutter="0"/>
      <w:pgSz w:h="15840" w:w="12240"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27292bf2c12a82b0c3fe7d1bc63de06a9e19ae01.png"/>
<Relationship Id="rId8" Type="http://schemas.openxmlformats.org/officeDocument/2006/relationships/image" Target="media/9c1b2e50cb7c72238308c9a56af85622744e7fc1.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2026-09-20T22:04:22Z</dcterms:modified>
  <cp:category/>
</cp:coreProperties>
</file>