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9297,8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0,2308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6,5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13911,5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0,3024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Los modelos principales usan pseudo-verosimilitud con el ponderador calibrado normalizado a media 1 dentro de cada municipio. WAIC: Watanabe-Akaike Information Criterion. Phi: fracción de varianza espacial del modelo BYM2 (Besag-York-Mollié tipo 2). RMSE: raíz del error cuadrático medio, validación cruzada espacial de 5 pliegues con observados y predicciones municipales agregados mediante el ponderador calibrado.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Calibración del ponderador y sensibilidad de la ponderación del modelo.</w:t>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true"/>
          <w:u w:val="none"/>
          <w:strike w:val="false"/>
          <w:sz w:val="18"/>
          <w:szCs w:val="18"/>
          <w:color w:val="000000"/>
        </w:rPr>
        <w:t xml:space="preserve">Panel A. Calibración de las estimaciones nacionales directas.</w:t>
      </w:r>
    </w:p>
    <w:tbl xmlns:a="http://schemas.openxmlformats.org/drawingml/2006/main" xmlns:pic="http://schemas.openxmlformats.org/drawingml/2006/picture">
      <w:tblPr>
        <w:tblLayout w:type="fixed"/>
        <w:jc w:val="center"/>
        <w:tblLook w:firstRow="1" w:lastRow="0" w:firstColumn="0" w:lastColumn="0" w:noHBand="0" w:noVBand="1"/>
      </w:tblPr>
      <w:tblGrid>
        <w:gridCol w:w="1367"/>
        <w:gridCol w:w="927"/>
        <w:gridCol w:w="840"/>
        <w:gridCol w:w="894"/>
        <w:gridCol w:w="1147"/>
        <w:gridCol w:w="2088"/>
        <w:gridCol w:w="1207"/>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diferencia (pp)</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0,38</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-1,04</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tres últimas columnas comparan, solo para 2023 —la única ronda que lo distribuye—, el ponderador calibrado contra el ponderador propio del módulo de tensión arterial. pp: puntos porcentuales.</w:t>
      </w:r>
    </w:p>
    <w:p>
      <w:pPr>
        <w:pStyle w:val="Normal"/>
        <w:jc w:val="left"/>
        <w:pBdr>
          <w:bottom w:val="none" w:sz="0" w:space="0" w:color="000000"/>
          <w:top w:val="none" w:sz="0" w:space="0" w:color="000000"/>
          <w:left w:val="none" w:sz="0" w:space="0" w:color="000000"/>
          <w:right w:val="none" w:sz="0" w:space="0" w:color="000000"/>
        </w:pBdr>
        <w:spacing w:after="60" w:before="120" w:line="240"/>
        <w:ind w:left="0" w:right="0" w:firstLine="0" w:firstLineChars="0"/>
      </w:pPr>
      <w:r>
        <w:rPr>
          <w:rFonts w:ascii="Arial" w:hAnsi="Arial" w:eastAsia="Arial" w:cs="Arial"/>
          <w:i w:val="false"/>
          <w:b w:val="true"/>
          <w:u w:val="none"/>
          <w:strike w:val="false"/>
          <w:sz w:val="18"/>
          <w:szCs w:val="18"/>
          <w:color w:val="000000"/>
        </w:rPr>
        <w:t xml:space="preserve">Panel B. Modelo principal ponderado frente a sensibilidad sin ponderar.</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270"/>
        <w:gridCol w:w="1083"/>
        <w:gridCol w:w="601"/>
        <w:gridCol w:w="1374"/>
        <w:gridCol w:w="1086"/>
        <w:gridCol w:w="1301"/>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Modelo principal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Comparación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Mediana |dif.|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P95 |dif.|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Criterio cumplido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ponderado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sin_ponderar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0,898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ponderado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sin_ponderar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ponderado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sin_ponderar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ponderado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sin_ponderar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ponderado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sin_ponderar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no</w:t>
            </w:r>
          </w:p>
        </w:tc>
      </w:tr>
    </w:tbl>
    <w:p>
      <w:pPr>
        <w:pStyle w:val="Normal"/>
        <w:jc w:val="left"/>
        <w:pBdr>
          <w:bottom w:val="none" w:sz="0" w:space="0" w:color="000000"/>
          <w:top w:val="none" w:sz="0" w:space="0" w:color="000000"/>
          <w:left w:val="none" w:sz="0" w:space="0" w:color="000000"/>
          <w:right w:val="none" w:sz="0" w:space="0" w:color="000000"/>
        </w:pBdr>
        <w:spacing w:after="60" w:before="120" w:line="240"/>
        <w:ind w:left="0" w:right="0" w:firstLine="0" w:firstLineChars="0"/>
      </w:pPr>
      <w:r>
        <w:rPr>
          <w:rFonts w:ascii="Arial" w:hAnsi="Arial" w:eastAsia="Arial" w:cs="Arial"/>
          <w:i w:val="false"/>
          <w:b w:val="true"/>
          <w:u w:val="none"/>
          <w:strike w:val="false"/>
          <w:sz w:val="18"/>
          <w:szCs w:val="18"/>
          <w:color w:val="000000"/>
        </w:rPr>
        <w:t xml:space="preserve">Desglose por tamaño muestral municipal.</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959"/>
        <w:gridCol w:w="912"/>
        <w:gridCol w:w="1374"/>
        <w:gridCol w:w="108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 municipal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Municipios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Mediana |dif.|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P95 |dif.| (pp)</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n&lt;=9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3,27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8,48</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10,60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n&gt;=30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12,85</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n&lt;=9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6,90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7,88</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n&gt;=30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11,88</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n&lt;=9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9,35</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9,46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n&gt;=30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12,93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n&lt;=9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6,45</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9,31</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n&gt;=30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7,93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n&lt;=9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6,92</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10,79</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n&gt;=30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11,05</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Ambos ajustes usan las mismas filas, fórmulas, previas y agregación municipal; solo cambia la inclusión del peso de pseudo-verosimilitud. El criterio preespecificado de diferencia pequeña exigía mediana absoluta &lt;2 pp y r&gt;0,95. No se cumplió en ningún desenlace y la discrepancia persistió con n≥30, por lo que el ponderado se mantuvo como principal.</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51"/>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(0,72-0,96)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(0,86-1,21)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(1,23-1,69)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(0,78-0,99)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(0,92-1,22)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(1,13-1,46)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(0,84-1,33)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(0,55-0,94)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(0,58-0,94)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(0,81-1,15)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(0,75-1,13)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(1,18-1,72)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(0,87-1,23)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(1,30-1,88)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929"/>
        <w:gridCol w:w="2125"/>
        <w:gridCol w:w="707"/>
        <w:gridCol w:w="435"/>
        <w:gridCol w:w="301"/>
        <w:gridCol w:w="651"/>
        <w:gridCol w:w="1330"/>
        <w:gridCol w:w="896"/>
      </w:tblGrid>
      <w:tr>
        <w:trPr>
          <w:trHeight w:val="21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Seleccionada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RM (IC 95%)</w:t>
            </w:r>
          </w:p>
        </w:tc>
      </w:tr>
      <w:tr>
        <w:trPr>
          <w:trHeight w:val="20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-1,79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3,38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-0,0067 (-0,0129 a -0,0008)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0,93 (0,88 a 0,99)</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-0,0058 (-0,0123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0,94 (0,88 a 1,01)</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de salud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Establecimientos públicos por 10 000 adultos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r>
        <w:trPr>
          <w:trHeight w:val="2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sobre las mismas observaciones. La inclusión exigió simultáneamente ΔWAIC ≤ −2, mejora del log-CPO y cero fallos CPO. Ninguna mejora alcanzó dos EE de ΔWAIC, por lo que las ganancias predictivas son modestas. β: coeficiente posterior en la escala del logit, solo para covariables seleccionadas. RM: la misma estimación como razón de momios, por cada 10 puntos porcentuales de pobreza y por una unidad de densidad de establecimientos. Las afirmaciones de asociación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690"/>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0,024 (p=0,266)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1,94 / 5,43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0,56 / 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0,466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-0,056 (p=0,898)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-0,61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0,496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-0,038 (p=0,794)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2,03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0,477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-0,015 (p=0,618)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0,86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0,473 (KS p=0,000)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Moran I: autocorrelación espacial de los residuos municipales; ninguno difiere de cero. v: componente no estructurado del BYM2, descrito con asimetría y exceso de curtosis. PIT aleatorizado (Czado et al. 2009): debería ser uniforme con media 0,5 si el modelo estuviera bien calibrado; la prueba KS rechazó la uniformidad en los cinco modelos, por lo que se declara calibración predictiva imperfecta.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los mismos datos.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(26,2-28,4)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a -2,1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(63,8-68,1)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 (61,3-66,7)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Ningún municipio quedó sin vecinos, de modo que el grafo tiene una sola componente conexa y el término ICAR del modelo BYM2 queda bien definido para los 2478 municipios.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observado y predicción se agregan con el ponderador calibrado dentro del municipio; BYM2 e IID usan exactamente las mismas filas, pesos y pliegues. Se muestra la reducción de RMSE frente a un promedio nacional ponderado.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27292bf2c12a82b0c3fe7d1bc63de06a9e19ae01.png"/>
<Relationship Id="rId8" Type="http://schemas.openxmlformats.org/officeDocument/2006/relationships/image" Target="media/9c1b2e50cb7c72238308c9a56af85622744e7fc1.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2026-08-17T14:35:07Z</dcterms:modified>
  <cp:category/>
</cp:coreProperties>
</file>