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4"/>
          <w:szCs w:val="24"/>
          <w:color w:val="000000"/>
        </w:rPr>
        <w:t xml:space="preserve">Material suplementario</w:t>
      </w:r>
    </w:p>
    <w:p>
      <w:pPr>
        <w:pStyle w:val="Normal"/>
        <w:jc w:val="center"/>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true"/>
          <w:b w:val="false"/>
          <w:u w:val="none"/>
          <w:strike w:val="false"/>
          <w:sz w:val="20"/>
          <w:szCs w:val="20"/>
          <w:color w:val="000000"/>
        </w:rPr>
        <w:t xml:space="preserve">Estimación bayesiana de área pequeña de la cascada de atención de la hipertensión arterial en los municipios de México: análisis de la ENSANUT Continua 2021-2024</w:t>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S1. Diagnósticos del modelo por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765"/>
        <w:gridCol w:w="694"/>
        <w:gridCol w:w="489"/>
        <w:gridCol w:w="849"/>
        <w:gridCol w:w="396"/>
        <w:gridCol w:w="605"/>
        <w:gridCol w:w="578"/>
        <w:gridCol w:w="1080"/>
        <w:gridCol w:w="885"/>
        <w:gridCol w:w="929"/>
      </w:tblGrid>
      <w:tr>
        <w:trPr>
          <w:trHeight w:val="18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(denominador)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(modelo)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Municipios (muestra)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Phi (mediana)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BYM2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simple (no ajustado)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Reducción RMSE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Cobertura nacional (%)</w:t>
            </w:r>
          </w:p>
        </w:tc>
      </w:tr>
      <w:tr>
        <w:trPr>
          <w:trHeight w:val="17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9297,8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0,2308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13911,5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5664,5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0,3024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WAIC: Watanabe-Akaike Information Criterion. Phi: fracción de varianza espacial del modelo BYM2 (Besag-York-Mollié tipo 2). RMSE: raíz del error cuadrático medio, validación cruzada espacial de 5 pliegues. ESH: European Society of Hypertension (criterio 2023, ≥140/90 mmHg). AHA: American College of Cardiology/American Heart Association (criterio 2025, ≥130/80 mmHg).</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S2. Sensibilidad al ponderador. Panel A: efecto de calibrar el ponderador de la submuestra con presión arterial medida, y validación contra el ponderador de tensión arterial que la encuesta publica para 2023.</w:t>
      </w:r>
    </w:p>
    <w:tbl xmlns:a="http://schemas.openxmlformats.org/drawingml/2006/main" xmlns:pic="http://schemas.openxmlformats.org/drawingml/2006/picture">
      <w:tblPr>
        <w:tblLayout w:type="fixed"/>
        <w:jc w:val="center"/>
        <w:tblLook w:firstRow="1" w:lastRow="0" w:firstColumn="0" w:lastColumn="0" w:noHBand="0" w:noVBand="1"/>
      </w:tblPr>
      <w:tblGrid>
        <w:gridCol w:w="1339"/>
        <w:gridCol w:w="653"/>
        <w:gridCol w:w="596"/>
        <w:gridCol w:w="631"/>
        <w:gridCol w:w="800"/>
        <w:gridCol w:w="1428"/>
        <w:gridCol w:w="1009"/>
        <w:gridCol w:w="947"/>
      </w:tblGrid>
      <w:tr>
        <w:trPr>
          <w:trHeight w:val="18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Sin calibrar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Diferencia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2023: 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2023: ponderador de la encuesta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2023: dif. sin calibrar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2023: dif. calibrado (pp)</w:t>
            </w:r>
          </w:p>
        </w:tc>
      </w:tr>
      <w:tr>
        <w:trPr>
          <w:trHeight w:val="17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Prevalencia HTA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27,3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29,9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0,62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0,38</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0,23</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-0,13</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-0,83</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-1,04</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Promedio de la diferencia absoluta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0,48</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Estimaciones nacionales directas con diseño muestral complejo. 'Sin calibrar' usa el ponderador original del módulo de adultos; 'calibrado' lo ajusta por post-estratificación dentro de celdas de año, estrato de urbanidad, sexo y grupo quinquenal de edad, tomando como marco la población adulta elegible de cada ronda. Las cuatro últimas columnas comparan, solo para 2023 —la única ronda que lo distribuye—, el ponderador calibrado y el original contra el ponderador propio del módulo de tensión arterial; la diferencia es (estimación con nuestro ponderador − estimación con el ponderador de la encuesta). La fila final promedia el valor absoluto de esas diferencias en los 6 indicadores con dato de 2023: calibrar la reduce de 0,92 a 0,48 pp. pp: puntos porcentuales.</w:t>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S2, panel B. Modelo principal ponderado frente al ajuste sin ponderar en los cinco desenlaces, con el desglose por tamaño muestral municipal.</w:t>
      </w:r>
    </w:p>
    <w:tbl xmlns:a="http://schemas.openxmlformats.org/drawingml/2006/main" xmlns:pic="http://schemas.openxmlformats.org/drawingml/2006/picture">
      <w:tblPr>
        <w:tblLayout w:type="fixed"/>
        <w:jc w:val="center"/>
        <w:tblLook w:firstRow="1" w:lastRow="0" w:firstColumn="0" w:lastColumn="0" w:noHBand="0" w:noVBand="1"/>
      </w:tblPr>
      <w:tblGrid>
        <w:gridCol w:w="600"/>
        <w:gridCol w:w="480"/>
        <w:gridCol w:w="413"/>
        <w:gridCol w:w="1127"/>
        <w:gridCol w:w="547"/>
        <w:gridCol w:w="440"/>
        <w:gridCol w:w="923"/>
        <w:gridCol w:w="1010"/>
        <w:gridCol w:w="957"/>
        <w:gridCol w:w="573"/>
      </w:tblGrid>
      <w:tr>
        <w:trPr>
          <w:trHeight w:val="16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Desenlace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Municipios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Correlación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Mediana de la diferencia absoluta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Percentil 95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Máximo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Mediana con n ≤9 (municipios)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Mediana con n 10-29 (municipios)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Mediana con n ≥30 (municipios)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Cumple el criterio</w:t>
            </w:r>
          </w:p>
        </w:tc>
      </w:tr>
      <w:tr>
        <w:trPr>
          <w:trHeight w:val="15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3,50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9,44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18,79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3,27 (351)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4,27 (188)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3,58 (50)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no</w:t>
            </w:r>
          </w:p>
        </w:tc>
      </w:tr>
      <w:tr>
        <w:trPr>
          <w:trHeight w:val="15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2,18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2,96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3,67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no</w:t>
            </w:r>
          </w:p>
        </w:tc>
      </w:tr>
      <w:tr>
        <w:trPr>
          <w:trHeight w:val="15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2,04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2,98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2,36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no</w:t>
            </w:r>
          </w:p>
        </w:tc>
      </w:tr>
      <w:tr>
        <w:trPr>
          <w:trHeight w:val="15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2,27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3,80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2,41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no</w:t>
            </w:r>
          </w:p>
        </w:tc>
      </w:tr>
      <w:tr>
        <w:trPr>
          <w:trHeight w:val="15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2,36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3,30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4,55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no</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Se reajustaron los cinco modelos sin ponderar, con las mismas filas, fórmulas y previas que el modelo principal. La diferencia es la del valor absoluto de la prevalencia municipal suavizada (ponderado − sin ponderar), en puntos porcentuales (pp), sobre los municipios con muestra directa. n: número de encuestados del municipio en el denominador de ese paso; entre paréntesis, el número de municipios de cada estrato. El criterio fijado de antemano para considerar coherentes ambos ajustes fue una mediana absoluta menor de 2 pp y una correlación mayor de 0,95; no se cumplió en ningún desenlace, y la diferencia no desaparece en los municipios con n ≥30, por lo que el modelo ponderado se mantuvo como principal.</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S3. Efecto del año de la ronda en cada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1567"/>
        <w:gridCol w:w="607"/>
        <w:gridCol w:w="1389"/>
        <w:gridCol w:w="1131"/>
      </w:tblGrid>
      <w:tr>
        <w:trPr>
          <w:trHeight w:val="42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Año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RM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 excluye 1</w:t>
            </w:r>
          </w:p>
        </w:tc>
      </w:tr>
      <w:tr>
        <w:trPr>
          <w:trHeight w:val="41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(0,72-0,96)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(0,86-1,21)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(1,23-1,69)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(0,78-0,99)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(0,92-1,22)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(1,13-1,46)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(0,84-1,33)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 (0,55-0,94)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 (0,58-0,94)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 (0,81-1,15)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 (0,75-1,13)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(1,18-1,72)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(0,87-1,23)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(0,87-1,32)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(1,30-1,88)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Razón de momios (RM) de cada año frente al año de referencia (2021), del efecto fijo de año incluido en los cinco modelos. Se reporta porque el diseño de ENSANUT rota los municipios entre rondas y la mayoría se observa en un solo año: sin este término, el efecto espacial absorbería la diferencia temporal y la presentaría como diferencia entre lugares. La estimación municipal publicada corresponde al promedio del periodo 2021-2024.</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S4. Selección de covariables de área: mejora predictiva con su incertidumbre, y coeficiente posterior de las seleccionadas.</w:t>
      </w:r>
    </w:p>
    <w:tbl xmlns:a="http://schemas.openxmlformats.org/drawingml/2006/main" xmlns:pic="http://schemas.openxmlformats.org/drawingml/2006/picture">
      <w:tblPr>
        <w:tblLayout w:type="fixed"/>
        <w:jc w:val="center"/>
        <w:tblLook w:firstRow="1" w:lastRow="0" w:firstColumn="0" w:lastColumn="0" w:noHBand="0" w:noVBand="1"/>
      </w:tblPr>
      <w:tblGrid>
        <w:gridCol w:w="1094"/>
        <w:gridCol w:w="2608"/>
        <w:gridCol w:w="500"/>
        <w:gridCol w:w="340"/>
        <w:gridCol w:w="760"/>
        <w:gridCol w:w="1574"/>
        <w:gridCol w:w="1054"/>
      </w:tblGrid>
      <w:tr>
        <w:trPr>
          <w:trHeight w:val="234"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Covariable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ΔWAIC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ΔWAIC / 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β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RM (IC 95%)</w:t>
            </w:r>
          </w:p>
        </w:tc>
      </w:tr>
      <w:tr>
        <w:trPr>
          <w:trHeight w:val="224"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-1,79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-0,0067 (-0,0129 a -0,0008)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0,93 (0,88 a 0,99)</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-0,0058 (-0,0123 a 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0,94 (0,88 a 1,01)</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ΔWAIC: cambio del WAIC al añadir la covariable al modelo base (valores negativos indican mejor ajuste predictivo); EE: su error estándar, calculado a partir de las contribuciones punto por punto de ambos modelos sobre las mismas observaciones. El umbral preespecificado de inclusión fue ΔWAIC ≤ -2; ninguna mejora alcanza dos errores estándar (la mayor razón |ΔWAIC|/EE entre las mejoras es 0,69), de modo que las ganancias predictivas son pequeñas frente a su propia incertidumbre y la elección de especificación apenas altera las estimaciones municipales. Las cuatro razones que superan 2 (la densidad de establecimientos en diagnóstico-AHA y en tratamiento, y la altitud en control-ESH y control-AHA) son deterioros del ajuste (ΔWAIC positivo) de magnitud pequeña pero estimados con precisión. β: coeficiente posterior en la escala del logit, sólo para las covariables que el protocolo seleccionó (la pobreza municipal en control). RM: la misma estimación como razón de momios, por cada 10 puntos porcentuales de pobreza municipal. Las afirmaciones de asociación del texto se apoyan en el coeficiente y su intervalo, no en el ΔWAIC.</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S5. Verificación de los supuestos de los modelos finales.</w:t>
      </w:r>
    </w:p>
    <w:tbl xmlns:a="http://schemas.openxmlformats.org/drawingml/2006/main" xmlns:pic="http://schemas.openxmlformats.org/drawingml/2006/picture">
      <w:tblPr>
        <w:tblLayout w:type="fixed"/>
        <w:jc w:val="center"/>
        <w:tblLook w:firstRow="1" w:lastRow="0" w:firstColumn="0" w:lastColumn="0" w:noHBand="0" w:noVBand="1"/>
      </w:tblPr>
      <w:tblGrid>
        <w:gridCol w:w="1402"/>
        <w:gridCol w:w="1690"/>
        <w:gridCol w:w="1387"/>
        <w:gridCol w:w="1573"/>
        <w:gridCol w:w="1469"/>
        <w:gridCol w:w="966"/>
      </w:tblGrid>
      <w:tr>
        <w:trPr>
          <w:trHeight w:val="40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VIF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Moran I (residuos)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 asimetría / curtosis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PIT aleatorizado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Fallos CPO</w:t>
            </w:r>
          </w:p>
        </w:tc>
      </w:tr>
      <w:tr>
        <w:trPr>
          <w:trHeight w:val="39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0,024 (p=0,266)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 / 5,43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0,477 (KS p&lt;0,001)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0,038 (p=0,168)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0,56 / 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0,466 (KS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-0,056 (p=0,898)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-0,61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0,496 (KS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-0,038 (p=0,794)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2,03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0,477 (KS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-0,015 (p=0,618)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0,86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0,473 (KS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VIF: factor de inflación de la varianza de las covariables de área de cada modelo (&gt;5 indicaría colinealidad); se calcula sobre la especificación que el protocolo seleccionó, no sobre todas las candidatas. Moran I: autocorrelación espacial de los residuos municipales (prevalencia directa menos prevalencia del modelo) en los municipios con muestra; ninguno difiere de cero, de modo que el término BYM2 absorbió la estructura espacial y no queda agrupamiento sin explicar. v: componente NO estructurado del BYM2, el único que el modelo supone gaussiano; se describe con asimetría y exceso de curtosis en vez de una prueba de normalidad, porque con 2 478 áreas cualquier prueba rechaza y porque se aplica sobre medias posteriores, que el encogimiento bayesiano concentra cerca de cero. PIT aleatorizado (Czado et al. 2009): con desenlace binario el PIT sin aleatorizar sigue a la prevalencia y no informa; aleatorizado debe ser uniforme con media 0,5 si el modelo está bien calibrado. Fallos CPO: observaciones cuya predicción dejada-fuera INLA no pudo calcular de forma fiable.</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S6. Comparación de las estimaciones nacionales directas con la literatura nacional publicada sobre los mismos datos.</w:t>
      </w:r>
    </w:p>
    <w:tbl xmlns:a="http://schemas.openxmlformats.org/drawingml/2006/main" xmlns:pic="http://schemas.openxmlformats.org/drawingml/2006/picture">
      <w:tblPr>
        <w:tblLayout w:type="fixed"/>
        <w:jc w:val="center"/>
        <w:tblLook w:firstRow="1" w:lastRow="0" w:firstColumn="0" w:lastColumn="0" w:noHBand="0" w:noVBand="1"/>
      </w:tblPr>
      <w:tblGrid>
        <w:gridCol w:w="2997"/>
        <w:gridCol w:w="1618"/>
        <w:gridCol w:w="2063"/>
        <w:gridCol w:w="1156"/>
      </w:tblGrid>
      <w:tr>
        <w:trPr>
          <w:trHeight w:val="28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Este estudio (directa)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Campos-Nonato et al.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Diferencia (pp)</w:t>
            </w:r>
          </w:p>
        </w:tc>
      </w:tr>
      <w:tr>
        <w:trPr>
          <w:trHeight w:val="27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Prevalencia HTA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(26,2-28,4)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29,1-29,4%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a -2,1</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previo (entre HTA)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(63,8-68,1)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(entre diagnosticados y tratados)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 (61,3-66,7)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HTA: hipertensión arterial. pp: puntos porcentuales. Las cifras de este estudio son estimaciones directas con diseño muestral complejo, no estimaciones suavizadas del modelo. Campos-Nonato et al. 2025 (Salud Publica Mex 2025;67(6):633-643) reporta la prevalencia como 29,1% en una parte de su texto y 29,4% en otra; por eso se cita como rango. Las tres diferencias metodológicas que explican el sentido de las brechas se detallan en Resultados.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S7. Conectividad del grafo de vecindad municipal empleado en el término espacial BYM2.</w:t>
      </w:r>
    </w:p>
    <w:tbl xmlns:a="http://schemas.openxmlformats.org/drawingml/2006/main" xmlns:pic="http://schemas.openxmlformats.org/drawingml/2006/picture">
      <w:tblPr>
        <w:tblLayout w:type="fixed"/>
        <w:jc w:val="center"/>
        <w:tblLook w:firstRow="1" w:lastRow="0" w:firstColumn="0" w:lastColumn="0" w:noHBand="0" w:noVBand="1"/>
      </w:tblPr>
      <w:tblGrid>
        <w:gridCol w:w="5344"/>
        <w:gridCol w:w="701"/>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Valor</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en el grafo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2 478</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sin vecinos (componentes aisladas)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mínimo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mediana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Conexiones añadidas por el respaldo de centroide más próximo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Municipios insulares y sus colindantes:</w:t>
      </w:r>
    </w:p>
    <w:tbl xmlns:a="http://schemas.openxmlformats.org/drawingml/2006/main" xmlns:pic="http://schemas.openxmlformats.org/drawingml/2006/picture">
      <w:tblPr>
        <w:tblLayout w:type="fixed"/>
        <w:jc w:val="center"/>
        <w:tblLook w:firstRow="1" w:lastRow="0" w:firstColumn="0" w:lastColumn="0" w:noHBand="0" w:noVBand="1"/>
      </w:tblPr>
      <w:tblGrid>
        <w:gridCol w:w="1221"/>
        <w:gridCol w:w="1361"/>
        <w:gridCol w:w="891"/>
        <w:gridCol w:w="2832"/>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Entidad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colindantes</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Cozumel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Solidaridad, Tulum</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Isla Mujeres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Benito Juárez, Lázaro Cárdenas</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El grafo se construyó con contigüidad tipo "reina" sobre la capa municipal 1:4 000 000 del INEGI. Se verificó como una única componente conexa, con los 2478 municipios alcanzables entre sí y sin aristas asimétricas; ningún municipio quedó sin vecinos. El término ICAR del modelo BYM2 queda bien definido para los 2478 municipios. Los dos municipios insulares de Quintana Roo tampoco quedaron aislados: a la escala de generalización de esa capa, sus polígonos colindan con los municipios costeros contiguos, que son los mismos que se les asignaría por proximidad. El procedimiento de respaldo previsto en el código —conectar un municipio sin vecinos con aquel cuyo centroide esté más próximo— no llegó a aplicarse en ningún caso.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S1. Validación cruzada espacial (5 pliegues).</w:t>
      </w:r>
    </w:p>
    <w:p>
      <w:pPr>
        <w:pStyle w:val="Normal"/>
      </w:pPr>
      <w:r>
        <w:rPr/>
        <w:drawing>
          <wp:inline distT="0" distB="0" distL="0" distR="0">
            <wp:extent cx="5486400" cy="41148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486400" cy="411480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Validación cruzada espacial de 5 pliegues: calibración observado-vs-predicho y reducción de RMSE frente a un promedio nacional simple no ajustado, por paso.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S2. Ancho del intervalo de credibilidad al 95% (criterio ESH).</w:t>
      </w:r>
    </w:p>
    <w:p>
      <w:pPr>
        <w:pStyle w:val="Normal"/>
      </w:pPr>
      <w:r>
        <w:rPr/>
        <w:drawing>
          <wp:inline distT="0" distB="0" distL="0" distR="0">
            <wp:extent cx="5486400" cy="24688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486400" cy="246888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Ancho del intervalo de credibilidad al 95% por municipio (diagnóstico, tratamiento, control), criterio ESH — mapa complementario de incertidumbre, siguiendo la práctica de The DHS Program para superficies modeladas (Burgert-Brucker et al. 2016).</w:t>
      </w:r>
    </w:p>
    <w:sectPr>
      <w:pgMar w:header="708" w:bottom="1417" w:top="1417" w:right="1701" w:left="1701"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27292bf2c12a82b0c3fe7d1bc63de06a9e19ae01.png"/>
<Relationship Id="rId8" Type="http://schemas.openxmlformats.org/officeDocument/2006/relationships/image" Target="media/9c1b2e50cb7c72238308c9a56af85622744e7fc1.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2026-09-20T23:01:40Z</dcterms:modified>
  <cp:category/>
</cp:coreProperties>
</file>