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39"/>
        <w:gridCol w:w="653"/>
        <w:gridCol w:w="596"/>
        <w:gridCol w:w="631"/>
        <w:gridCol w:w="800"/>
        <w:gridCol w:w="1428"/>
        <w:gridCol w:w="1009"/>
        <w:gridCol w:w="947"/>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sin calibrar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calibrado (pp)</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-1,04</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Promedio de la diferencia absoluta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0,48</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cuatro últimas columnas comparan, solo para 2023 —la única ronda que lo distribuye—, el ponderador calibrado y el original contra el ponderador propio del módulo de tensión arterial; la diferencia es (estimación con nuestro ponderador − estimación con el ponderador de la encuesta). La fila final promedia el valor absoluto de esas diferencias en los 6 indicadores con dato de 2023: calibrar la reduce de 0,92 a 0,48 pp. pp: puntos porcentuales.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59"/>
        <w:gridCol w:w="710"/>
        <w:gridCol w:w="523"/>
        <w:gridCol w:w="1013"/>
        <w:gridCol w:w="1963"/>
        <w:gridCol w:w="135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RM (IC 95%)</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 (0,88 a 0,99)</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 (0,88 a 1,01)</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1,7), de modo que las ganancias predictivas son pequeñas frente a su propia incertidumbre y la elección de especificación apenas altera las estimaciones municipales. Las dos razones que superan 2 corresponden a la altitud en control-ESH y control-AHA, y son deterioros del ajuste (ΔWAIC positivo) de magnitud pequeña pero estimados con precisión. β: coeficiente posterior en la escala del logit, sólo para las covariables que el protocolo seleccionó. RM: la misma estimación como razón de momios, por cada 10 puntos porcentuales de pobreza municipal y por cada 100 establecimientos de salud.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2026-09-18T20:41:10Z</dcterms:modified>
  <cp:category/>
</cp:coreProperties>
</file>