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Requisitos do Sistema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Sistema de Supermercado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  <w:sectPr>
          <w:headerReference r:id="rId6" w:type="default"/>
          <w:pgSz w:h="16838" w:w="11906" w:orient="portrait"/>
          <w:pgMar w:bottom="1418" w:top="1418" w:left="1418" w:right="1418" w:header="680" w:footer="6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Alterações</w:t>
      </w:r>
    </w:p>
    <w:tbl>
      <w:tblPr>
        <w:tblStyle w:val="Table1"/>
        <w:tblW w:w="8789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6"/>
        <w:gridCol w:w="992"/>
        <w:gridCol w:w="4536"/>
        <w:gridCol w:w="1985"/>
        <w:tblGridChange w:id="0">
          <w:tblGrid>
            <w:gridCol w:w="1276"/>
            <w:gridCol w:w="992"/>
            <w:gridCol w:w="4536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17/062025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Primeira versão com funcionalidades iniciais para 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Rodrigo Ferreira Aleixo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  <w:sectPr>
          <w:type w:val="nextPage"/>
          <w:pgSz w:h="16838" w:w="11906" w:orient="portrait"/>
          <w:pgMar w:bottom="1418" w:top="1418" w:left="1418" w:right="1418" w:header="680" w:footer="6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id w:val="-41276782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bo7pt6dglvw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jp6rwlith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Visão geral do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kpcn2b9we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Convenções, termos e abreviações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o88onrr5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 Identificação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jdv46vzde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1.2.2 Prioridades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fzrbypshtd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Descrição geral do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w23nsp9hbk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Abrangência e sistemas relacionados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23wi3kooq6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Cadastro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nuqzj3zd8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Sistema Supermercado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l5xfqd2a9u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 Emissão/Informações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jjld1ha78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 Adicionais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h2zbf4di3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Requisitos não-funcionais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5xhydsxsn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Referências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  <w:sectPr>
          <w:headerReference r:id="rId7" w:type="default"/>
          <w:footerReference r:id="rId8" w:type="default"/>
          <w:type w:val="nextPage"/>
          <w:pgSz w:h="16838" w:w="11906" w:orient="portrait"/>
          <w:pgMar w:bottom="1418" w:top="1418" w:left="1418" w:right="1418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bo7pt6dglvwx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documento especifica os requisitos do sistema Sistema de Supermercado, fornecendo aos desenvolvedores as informações necessárias para o projeto e implementação, assim como para a realização dos testes e homologação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uujp6rwlithr" w:id="1"/>
      <w:bookmarkEnd w:id="1"/>
      <w:r w:rsidDel="00000000" w:rsidR="00000000" w:rsidRPr="00000000">
        <w:rPr>
          <w:rtl w:val="0"/>
        </w:rPr>
        <w:t xml:space="preserve">Visão geral do documento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2 – Descrição geral do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apresenta uma visão geral do sistema, caracterizando qual é o seu escopo e descrevendo seus usuários.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3 – Requisitos funcionais (casos de uso)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especifica todos os casos de uso do sistema, descrevendo os fluxos de eventos, prioridades, atores, entradas e saídas de cada caso de uso a ser implementado.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4 – Requisitos não-funcionais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especifica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5 – Referências: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referências para outros documentos utilizados para a confecção deste documento.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c6kpcn2b9weq" w:id="2"/>
      <w:bookmarkEnd w:id="2"/>
      <w:r w:rsidDel="00000000" w:rsidR="00000000" w:rsidRPr="00000000">
        <w:rPr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s8o88onrr50q" w:id="3"/>
      <w:bookmarkEnd w:id="3"/>
      <w:r w:rsidDel="00000000" w:rsidR="00000000" w:rsidRPr="00000000">
        <w:rPr>
          <w:rtl w:val="0"/>
        </w:rPr>
        <w:t xml:space="preserve">Identificação dos requisitos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Por convenção, a referência a requisitos é feita através do nome da subseção onde eles estão descritos, seguidos do identificador do requisito, de acordo com a especificação a seguir: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nome da subseção. identificador do requisito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Por exemplo, o requisito funcional [Recuperação de dados.RF016]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</w:t>
      </w:r>
    </w:p>
    <w:p w:rsidR="00000000" w:rsidDel="00000000" w:rsidP="00000000" w:rsidRDefault="00000000" w:rsidRPr="00000000" w14:paraId="0000002D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6ejdv46vzdeq" w:id="4"/>
      <w:bookmarkEnd w:id="4"/>
      <w:r w:rsidDel="00000000" w:rsidR="00000000" w:rsidRPr="00000000">
        <w:rPr>
          <w:rtl w:val="0"/>
        </w:rPr>
        <w:t xml:space="preserve">Prioridades dos requisitos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Para estabelecer a prioridade dos requisitos, nas seções 4 e 5, foram adotadas as denominações “essencial”, “importante” e “desejável”.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afzrbypshtdw" w:id="5"/>
      <w:bookmarkEnd w:id="5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iw23nsp9hbkw" w:id="6"/>
      <w:bookmarkEnd w:id="6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O sistema </w:t>
      </w:r>
      <w:r w:rsidDel="00000000" w:rsidR="00000000" w:rsidRPr="00000000">
        <w:rPr>
          <w:i w:val="1"/>
          <w:rtl w:val="0"/>
        </w:rPr>
        <w:t xml:space="preserve">Sistema de Supermercado </w:t>
      </w:r>
      <w:r w:rsidDel="00000000" w:rsidR="00000000" w:rsidRPr="00000000">
        <w:rPr>
          <w:rtl w:val="0"/>
        </w:rPr>
        <w:t xml:space="preserve">é uma aplicação que adiciona todas as funcionalidades básicas de um Supermercado comum. As suas funcionalidades incluem, vendas, cadastros, gerenciamento de produtos, gerenciamento de funcionários, controle e acessibilidade para os  clientes, etc. O sistema inclui funcionalidades de alteração e mudanças nos produtos e nos funcionários, mantendo a relação de hierarquia que controla todo o sistema.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O sistema também incluí um sistema de cadastros que darão alguns benefícios para o cliente cadastrado, como descontos, ofertas e possivelmente algum bônus. Também é possível emitir nota fiscal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f23wi3kooq6l" w:id="7"/>
      <w:bookmarkEnd w:id="7"/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bookmarkStart w:colFirst="0" w:colLast="0" w:name="_1oiwrqszcrre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Cadastro de Produto no Catálogo                                         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Este caso de uso permite que um funcionário autorizado crie e armazene um novo produto no sistema.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43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Tem como entrada Nome, Marca e Preço.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Produto deve ser adicionado aos cadastros.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32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[RF002] Remover um Produto do Catálogo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Este caso de uso permite que um funcionário autorizado remova indeterminadamente um produto do dos registros.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53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Tem como entrada ID ou Nome, 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Produto deve ser removido dos cadastros.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hkvh3n4dl1g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Cadastrar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usuário cadastre um novo funcionário no sistema.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Nome, CPF, Função e Salário.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Funcionário é adicionado ao sistema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32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[RF004] Remover Funcionário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usuário remova um funcionário do sistema.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■ 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◻ Desejável</w:t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o CPF.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funcionário é removido do sistema..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32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[RF005] Alterar Função do Funcionário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usuário altere a função do funcionário dentro do sistema.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CPF e a nova função do funcionário.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A situação de um funcionário é alterada no sistema.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8re7cjrzgpt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Cadastrar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usuário cadastre um cliente novo no sistema.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o nome, CPF e  número de telefone.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cliente é adicionado no sistema.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[RF007] Remover Cliente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usuário remova um cliente do sistema.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o CPF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cliente é removido do sistema.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[RF008] Alterar Preço do Produto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a alteração do preço de um produto já existente, garantindo a funcionalidade cotidiana do sistema.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15.0" w:type="dxa"/>
        <w:jc w:val="left"/>
        <w:tblInd w:w="-115.0" w:type="dxa"/>
        <w:tblLayout w:type="fixed"/>
        <w:tblLook w:val="0000"/>
      </w:tblPr>
      <w:tblGrid>
        <w:gridCol w:w="1815"/>
        <w:gridCol w:w="420"/>
        <w:gridCol w:w="1980"/>
        <w:gridCol w:w="405"/>
        <w:gridCol w:w="1995"/>
        <w:gridCol w:w="368.33333333333314"/>
        <w:gridCol w:w="1431.666666666667"/>
        <w:tblGridChange w:id="0">
          <w:tblGrid>
            <w:gridCol w:w="1815"/>
            <w:gridCol w:w="420"/>
            <w:gridCol w:w="1980"/>
            <w:gridCol w:w="405"/>
            <w:gridCol w:w="1995"/>
            <w:gridCol w:w="368.33333333333314"/>
            <w:gridCol w:w="1431.66666666666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ID ou nome e marca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Informações do produto alterado.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[RF009] Alterar salário do funcionário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Permite alterar o salário do funcionário.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15.0" w:type="dxa"/>
        <w:jc w:val="left"/>
        <w:tblInd w:w="-115.0" w:type="dxa"/>
        <w:tblLayout w:type="fixed"/>
        <w:tblLook w:val="0000"/>
      </w:tblPr>
      <w:tblGrid>
        <w:gridCol w:w="1815"/>
        <w:gridCol w:w="386.66666666666697"/>
        <w:gridCol w:w="2013.333333333333"/>
        <w:gridCol w:w="405"/>
        <w:gridCol w:w="1995"/>
        <w:gridCol w:w="375"/>
        <w:gridCol w:w="1425"/>
        <w:tblGridChange w:id="0">
          <w:tblGrid>
            <w:gridCol w:w="1815"/>
            <w:gridCol w:w="386.66666666666697"/>
            <w:gridCol w:w="2013.333333333333"/>
            <w:gridCol w:w="405"/>
            <w:gridCol w:w="1995"/>
            <w:gridCol w:w="375"/>
            <w:gridCol w:w="1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o CPF do funcionário.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As novas informações do funcionário.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pdnuqzj3zd8f" w:id="11"/>
      <w:bookmarkEnd w:id="11"/>
      <w:r w:rsidDel="00000000" w:rsidR="00000000" w:rsidRPr="00000000">
        <w:rPr>
          <w:rtl w:val="0"/>
        </w:rPr>
        <w:t xml:space="preserve">Sistema Supermercado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wufunq37fyb7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Realizar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É permitido a funcionários autorizados a validar uma compra.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DA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Deve receber os itens que estão no carrinho do cliente através do ID deles ou nome e 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Funcionário válida a venda e emite ou não a nota fiscal.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myksv1yt61sf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Consultar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Permite realizar uma consulta de algum item no estoque.</w:t>
      </w:r>
    </w:p>
    <w:tbl>
      <w:tblPr>
        <w:tblStyle w:val="Table18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6">
      <w:pPr>
        <w:jc w:val="both"/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ID ou nome e 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usuário consegue copiar o componente que deseja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f3rlvy9499bj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[RF003]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Atualizar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Permite atualizar itens no estoque.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o componente que se deseja colar e tem como pré-condição a necessidade de existência de alguma informação na área de transferência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usuário consegue colocar o componente no local desejado.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[RF004] Cancelar Venda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um profissional autorizado cancele em tempo real uma venda. 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415.0" w:type="dxa"/>
        <w:jc w:val="left"/>
        <w:tblInd w:w="-115.0" w:type="dxa"/>
        <w:tblLayout w:type="fixed"/>
        <w:tblLook w:val="0000"/>
      </w:tblPr>
      <w:tblGrid>
        <w:gridCol w:w="1815"/>
        <w:gridCol w:w="386.66666666666697"/>
        <w:gridCol w:w="2013.333333333333"/>
        <w:gridCol w:w="405"/>
        <w:gridCol w:w="1995"/>
        <w:gridCol w:w="375"/>
        <w:gridCol w:w="1425"/>
        <w:tblGridChange w:id="0">
          <w:tblGrid>
            <w:gridCol w:w="1815"/>
            <w:gridCol w:w="386.66666666666697"/>
            <w:gridCol w:w="2013.333333333333"/>
            <w:gridCol w:w="405"/>
            <w:gridCol w:w="1995"/>
            <w:gridCol w:w="375"/>
            <w:gridCol w:w="1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o CPF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cliente é removido do sistema.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[RF005] Cancelar Produto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Em vez de precisar cancelar completamente uma venda quando um produto não for mais desejado, será permitido retirar o produto da venda para permitir a versatilidade do sistema.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415.0" w:type="dxa"/>
        <w:jc w:val="left"/>
        <w:tblInd w:w="-115.0" w:type="dxa"/>
        <w:tblLayout w:type="fixed"/>
        <w:tblLook w:val="0000"/>
      </w:tblPr>
      <w:tblGrid>
        <w:gridCol w:w="1815"/>
        <w:gridCol w:w="386.66666666666697"/>
        <w:gridCol w:w="2013.333333333333"/>
        <w:gridCol w:w="405"/>
        <w:gridCol w:w="1995"/>
        <w:gridCol w:w="375"/>
        <w:gridCol w:w="1425"/>
        <w:tblGridChange w:id="0">
          <w:tblGrid>
            <w:gridCol w:w="1815"/>
            <w:gridCol w:w="386.66666666666697"/>
            <w:gridCol w:w="2013.333333333333"/>
            <w:gridCol w:w="405"/>
            <w:gridCol w:w="1995"/>
            <w:gridCol w:w="375"/>
            <w:gridCol w:w="1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o código do produto a ser removido e a quantidade.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produto é removido da venda.</w:t>
      </w:r>
    </w:p>
    <w:p w:rsidR="00000000" w:rsidDel="00000000" w:rsidP="00000000" w:rsidRDefault="00000000" w:rsidRPr="00000000" w14:paraId="00000117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ql5xfqd2a9u7" w:id="15"/>
      <w:bookmarkEnd w:id="15"/>
      <w:r w:rsidDel="00000000" w:rsidR="00000000" w:rsidRPr="00000000">
        <w:rPr>
          <w:rtl w:val="0"/>
        </w:rPr>
        <w:t xml:space="preserve">Emissão/Informações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qrz4s8axlaal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Emitir Nota Fiscal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Permite que o Funcionário consiga emitir uma nota fiscal com as informações da compra. 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as informações do carrinho e outras possíveis informações sobre 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texto da nota fiscal.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[RF002] Informações Sobre o Funcionário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um profissional autorizado cancele em tempo real uma venda. 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415.0" w:type="dxa"/>
        <w:jc w:val="left"/>
        <w:tblInd w:w="-115.0" w:type="dxa"/>
        <w:tblLayout w:type="fixed"/>
        <w:tblLook w:val="0000"/>
      </w:tblPr>
      <w:tblGrid>
        <w:gridCol w:w="1815"/>
        <w:gridCol w:w="386.66666666666697"/>
        <w:gridCol w:w="2013.333333333333"/>
        <w:gridCol w:w="405"/>
        <w:gridCol w:w="1995"/>
        <w:gridCol w:w="375"/>
        <w:gridCol w:w="1425"/>
        <w:tblGridChange w:id="0">
          <w:tblGrid>
            <w:gridCol w:w="1815"/>
            <w:gridCol w:w="386.66666666666697"/>
            <w:gridCol w:w="2013.333333333333"/>
            <w:gridCol w:w="405"/>
            <w:gridCol w:w="1995"/>
            <w:gridCol w:w="375"/>
            <w:gridCol w:w="1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o CPF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cliente é removido do sistema.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[RF003] Informações Sobre o Cliente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um profissional autorizado cancele em tempo real uma venda. 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415.0" w:type="dxa"/>
        <w:jc w:val="left"/>
        <w:tblInd w:w="-115.0" w:type="dxa"/>
        <w:tblLayout w:type="fixed"/>
        <w:tblLook w:val="0000"/>
      </w:tblPr>
      <w:tblGrid>
        <w:gridCol w:w="1815"/>
        <w:gridCol w:w="386.66666666666697"/>
        <w:gridCol w:w="2013.333333333333"/>
        <w:gridCol w:w="405"/>
        <w:gridCol w:w="1995"/>
        <w:gridCol w:w="375"/>
        <w:gridCol w:w="1425"/>
        <w:tblGridChange w:id="0">
          <w:tblGrid>
            <w:gridCol w:w="1815"/>
            <w:gridCol w:w="386.66666666666697"/>
            <w:gridCol w:w="2013.333333333333"/>
            <w:gridCol w:w="405"/>
            <w:gridCol w:w="1995"/>
            <w:gridCol w:w="375"/>
            <w:gridCol w:w="1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o CPF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cliente é removido do sistema.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[RF004] Informações do Produto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um profissional autorizado cancele em tempo real uma venda. 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415.0" w:type="dxa"/>
        <w:jc w:val="left"/>
        <w:tblInd w:w="-115.0" w:type="dxa"/>
        <w:tblLayout w:type="fixed"/>
        <w:tblLook w:val="0000"/>
      </w:tblPr>
      <w:tblGrid>
        <w:gridCol w:w="1815"/>
        <w:gridCol w:w="386.66666666666697"/>
        <w:gridCol w:w="2013.333333333333"/>
        <w:gridCol w:w="405"/>
        <w:gridCol w:w="1995"/>
        <w:gridCol w:w="375"/>
        <w:gridCol w:w="1425"/>
        <w:tblGridChange w:id="0">
          <w:tblGrid>
            <w:gridCol w:w="1815"/>
            <w:gridCol w:w="386.66666666666697"/>
            <w:gridCol w:w="2013.333333333333"/>
            <w:gridCol w:w="405"/>
            <w:gridCol w:w="1995"/>
            <w:gridCol w:w="375"/>
            <w:gridCol w:w="1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o CPF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cliente é removido do sistema.</w:t>
      </w:r>
    </w:p>
    <w:p w:rsidR="00000000" w:rsidDel="00000000" w:rsidP="00000000" w:rsidRDefault="00000000" w:rsidRPr="00000000" w14:paraId="0000015A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v6jjld1ha783" w:id="17"/>
      <w:bookmarkEnd w:id="17"/>
      <w:r w:rsidDel="00000000" w:rsidR="00000000" w:rsidRPr="00000000">
        <w:rPr>
          <w:rtl w:val="0"/>
        </w:rPr>
        <w:t xml:space="preserve">Adicionais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e4j0w0a3x2o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[RF001]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Serviços de Bônus p/ Cadastrados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Inclui Bônus de Cadastros para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deve receber o CPF a ser verificado no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possíveis descontos a serem adicionados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q7h2zbf4di3w" w:id="19"/>
      <w:bookmarkEnd w:id="19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rbzbdld50a0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terá uma interface amigável ao usuário primário sem se tornar cansativa aos usuários mais experientes.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5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7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x3hqe9r0qx37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[NF002]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Embora não seja um requisito essencial ao sistema, deve ser considerada por corresponder a um fator de qualidade de software. 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0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8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o3wnl3js82eo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[NF003]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Manter boas práticas de segurança são essenciais para a permanência do sistema. Lidamos com algumas informações sensíveis tanto do cliente quanto dos funcionários, que precisamos ter o devido cuidado.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9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D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8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[RF004] Controle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Manter o controle de acesso, como senhas de usuário e cadastros para cliente, funcionário e gerentes, em que poderão realizar diferentes ações no sistema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415.0" w:type="dxa"/>
        <w:jc w:val="left"/>
        <w:tblInd w:w="-115.0" w:type="dxa"/>
        <w:tblLayout w:type="fixed"/>
        <w:tblLook w:val="0000"/>
      </w:tblPr>
      <w:tblGrid>
        <w:gridCol w:w="1815"/>
        <w:gridCol w:w="386.66666666666697"/>
        <w:gridCol w:w="2013.333333333333"/>
        <w:gridCol w:w="405"/>
        <w:gridCol w:w="1995"/>
        <w:gridCol w:w="375"/>
        <w:gridCol w:w="1425"/>
        <w:tblGridChange w:id="0">
          <w:tblGrid>
            <w:gridCol w:w="1815"/>
            <w:gridCol w:w="386.66666666666697"/>
            <w:gridCol w:w="2013.333333333333"/>
            <w:gridCol w:w="405"/>
            <w:gridCol w:w="1995"/>
            <w:gridCol w:w="375"/>
            <w:gridCol w:w="1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A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9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2p5xhydsxsnz" w:id="23"/>
      <w:bookmarkEnd w:id="23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sectPr>
      <w:headerReference r:id="rId9" w:type="even"/>
      <w:type w:val="nextPage"/>
      <w:pgSz w:h="16838" w:w="11906" w:orient="portrait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7"/>
      <w:tblW w:w="9286.0" w:type="dxa"/>
      <w:jc w:val="left"/>
      <w:tblInd w:w="-115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cantSplit w:val="1"/>
        <w:trHeight w:val="368" w:hRule="atLeast"/>
        <w:tblHeader w:val="0"/>
      </w:trPr>
      <w:tc>
        <w:tcPr>
          <w:vMerge w:val="restart"/>
          <w:tcBorders>
            <w:top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  <w:p w:rsidR="00000000" w:rsidDel="00000000" w:rsidP="00000000" w:rsidRDefault="00000000" w:rsidRPr="00000000" w14:paraId="000001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Arquivo: documentoRequisitos.doc</w:t>
          </w:r>
        </w:p>
        <w:p w:rsidR="00000000" w:rsidDel="00000000" w:rsidP="00000000" w:rsidRDefault="00000000" w:rsidRPr="00000000" w14:paraId="000001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k6nmtdhhnoxt" w:id="24"/>
          <w:bookmarkEnd w:id="24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67" w:hRule="atLeast"/>
        <w:tblHeader w:val="0"/>
      </w:trPr>
      <w:tc>
        <w:tcPr>
          <w:vMerge w:val="continue"/>
          <w:tcBorders>
            <w:top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A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Última Atualização: 12/03/2003 19:34:00h</w:t>
          </w:r>
        </w:p>
      </w:tc>
    </w:tr>
  </w:tbl>
  <w:p w:rsidR="00000000" w:rsidDel="00000000" w:rsidP="00000000" w:rsidRDefault="00000000" w:rsidRPr="00000000" w14:paraId="000001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2">
    <w:pPr>
      <w:pBdr>
        <w:top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Sistema De Supermercado – Trabalho de Engenharia de Software I 2025.6</w:t>
    </w:r>
  </w:p>
  <w:p w:rsidR="00000000" w:rsidDel="00000000" w:rsidP="00000000" w:rsidRDefault="00000000" w:rsidRPr="00000000" w14:paraId="000001A3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Graduando(s): Rodrigo Ferreira Aleixo, Luis Felipe Monteiro</w:t>
    </w:r>
  </w:p>
  <w:p w:rsidR="00000000" w:rsidDel="00000000" w:rsidP="00000000" w:rsidRDefault="00000000" w:rsidRPr="00000000" w14:paraId="000001A4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Professor: Straus Michalsky Martins</w:t>
    </w:r>
  </w:p>
  <w:p w:rsidR="00000000" w:rsidDel="00000000" w:rsidP="00000000" w:rsidRDefault="00000000" w:rsidRPr="00000000" w14:paraId="000001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ind w:left="0"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