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10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0"/>
        </w:rPr>
      </w:pP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-30480</wp:posOffset>
            </wp:positionH>
            <wp:positionV relativeFrom="paragraph">
              <wp:posOffset>-154305</wp:posOffset>
            </wp:positionV>
            <wp:extent cx="1033145" cy="671830"/>
            <wp:effectExtent l="0" t="0" r="0" b="0"/>
            <wp:wrapNone/>
            <wp:docPr id="1" name="Picture 7" descr="http://mastersid.univ-rouen.fr/images/logoSI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http://mastersid.univ-rouen.fr/images/logoSID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314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3686175</wp:posOffset>
            </wp:positionH>
            <wp:positionV relativeFrom="paragraph">
              <wp:posOffset>-104140</wp:posOffset>
            </wp:positionV>
            <wp:extent cx="1713865" cy="615315"/>
            <wp:effectExtent l="0" t="0" r="0" b="0"/>
            <wp:wrapNone/>
            <wp:docPr id="2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8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tab/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rPr>
          <w:b/>
          <w:sz w:val="20"/>
          <w:lang w:val="en-US"/>
        </w:rPr>
      </w:pPr>
      <w:r>
        <w:rPr>
          <w:b/>
          <w:sz w:val="20"/>
        </w:rPr>
        <w:tab/>
        <w:tab/>
        <w:tab/>
        <w:tab/>
        <w:tab/>
        <w:tab/>
      </w:r>
      <w:r>
        <w:rPr>
          <w:b/>
          <w:sz w:val="20"/>
          <w:lang w:val="en-US"/>
        </w:rPr>
        <w:t xml:space="preserve">      </w:t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Master 2</w:t>
        <w:tab/>
        <w:tab/>
        <w:tab/>
        <w:tab/>
        <w:tab/>
        <w:t xml:space="preserve">               </w:t>
        <w:tab/>
      </w:r>
      <w:r>
        <w:rPr>
          <w:b/>
          <w:lang w:val="en-US"/>
        </w:rPr>
        <w:t>Machine Learning on Sequences</w:t>
      </w:r>
      <w:r>
        <w:rPr>
          <w:i/>
          <w:iCs/>
          <w:lang w:val="en-US"/>
        </w:rPr>
        <w:tab/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Practical work 2: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 xml:space="preserve">Hidden Markov Models (HMM) </w:t>
      </w:r>
    </w:p>
    <w:p>
      <w:pPr>
        <w:pStyle w:val="Normal"/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Forward-Backward versus Viterbi training</w:t>
      </w:r>
    </w:p>
    <w:p>
      <w:pPr>
        <w:pStyle w:val="Normal"/>
        <w:spacing w:lineRule="atLeast" w:line="360"/>
        <w:jc w:val="center"/>
        <w:rPr>
          <w:lang w:val="en-US"/>
        </w:rPr>
      </w:pPr>
      <w:r>
        <w:rPr>
          <w:u w:val="single"/>
          <w:lang w:val="en-US"/>
        </w:rPr>
        <w:tab/>
        <w:tab/>
        <w:tab/>
        <w:tab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In this session we focus on training semi continuous Hidden Makov Models for handwritten digit recognition. We recall that images are 28X28 as shown on figure below.</w:t>
      </w:r>
    </w:p>
    <w:p>
      <w:pPr>
        <w:pStyle w:val="Normal"/>
        <w:jc w:val="center"/>
        <w:rPr>
          <w:bCs/>
        </w:rPr>
      </w:pPr>
      <w:r>
        <w:rPr/>
        <w:drawing>
          <wp:inline distT="0" distB="0" distL="0" distR="0">
            <wp:extent cx="1035050" cy="575945"/>
            <wp:effectExtent l="0" t="0" r="0" b="0"/>
            <wp:docPr id="3" name="Image 687312517" descr="Une image contenant ligne, symbol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687312517" descr="Une image contenant ligne, symbole, diagramme, capture d’écra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Exemple of image digit of the MNIST dataset.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Recall that semi-continuous HMM are discreet HMM that have discret input sequences where the input have been discretized through a clustering preprocessing stage, which in the present case assigns a single ID to every columns of 28 pixels as depicted on figures below. The size of the codebook induces a discretization effect, the larger the codebook, the lower the discretization error. Notice that the codebook is shared by the different HMM. In this exercise you can choose to</w:t>
      </w:r>
      <w:r>
        <w:rPr>
          <w:bCs/>
          <w:lang w:val="en-US"/>
        </w:rPr>
        <w:t xml:space="preserve"> use two </w:t>
      </w:r>
      <w:r>
        <w:rPr>
          <w:rFonts w:cs="Arial" w:ascii="Arial" w:hAnsi="Arial"/>
          <w:bCs/>
          <w:sz w:val="20"/>
          <w:szCs w:val="20"/>
          <w:lang w:val="en-US"/>
        </w:rPr>
        <w:t>different codebooks of size 50 and 100 clusters.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sz w:val="13"/>
          <w:szCs w:val="13"/>
          <w:lang w:val="en-US"/>
        </w:rPr>
      </w:pPr>
      <w:r>
        <w:rPr/>
        <w:drawing>
          <wp:inline distT="0" distB="0" distL="0" distR="0">
            <wp:extent cx="1035050" cy="575945"/>
            <wp:effectExtent l="0" t="0" r="0" b="0"/>
            <wp:docPr id="4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05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3"/>
          <w:sz w:val="13"/>
          <w:szCs w:val="13"/>
        </w:rPr>
        <w:t>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0 0 0 5 1 1 0 0 0 0 0 0 0 0 0 0 0 4 7 7 5 2 0 0 0 0 0 0 0 0 0 0 0 0 0 0 0 4 4 4 6 9 9 5 5 2 2 2 2 0 0 0 0 0 0 0</w:t>
      </w:r>
    </w:p>
    <w:p>
      <w:pPr>
        <w:pStyle w:val="Normal"/>
        <w:jc w:val="both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/>
        <w:drawing>
          <wp:inline distT="0" distB="0" distL="0" distR="0">
            <wp:extent cx="1003300" cy="558165"/>
            <wp:effectExtent l="0" t="0" r="0" b="0"/>
            <wp:docPr id="5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330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16"/>
          <w:sz w:val="16"/>
          <w:szCs w:val="16"/>
        </w:rPr>
        <w:t>﻿﻿</w:t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Cs w:val="16"/>
          <w:lang w:val="en-US"/>
        </w:rPr>
        <w:t>1 1 1 19 2 2 1 1 1 8 1 1 1 1 1 1 1 5 5 2 6 16 1 1 1 1 1 1 1 1 1 1 1 1 1 1 1 12 5 5 5 4 8 19 19 6 6 16 16 1 1 1 1 1 1 1</w:t>
      </w:r>
    </w:p>
    <w:p>
      <w:pPr>
        <w:pStyle w:val="Normal"/>
        <w:jc w:val="center"/>
        <w:rPr>
          <w:bCs/>
          <w:sz w:val="16"/>
          <w:szCs w:val="16"/>
        </w:rPr>
      </w:pPr>
      <w:r>
        <w:rPr/>
        <w:drawing>
          <wp:inline distT="0" distB="0" distL="0" distR="0">
            <wp:extent cx="1028700" cy="549910"/>
            <wp:effectExtent l="0" t="0" r="0" b="0"/>
            <wp:docPr id="6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bCs/>
          <w:sz w:val="16"/>
          <w:szCs w:val="16"/>
          <w:lang w:val="en-US"/>
        </w:rPr>
      </w:pPr>
      <w:r>
        <w:rPr>
          <w:bCs/>
          <w:sz w:val="16"/>
          <w:sz w:val="16"/>
          <w:szCs w:val="16"/>
        </w:rPr>
        <w:t>﻿</w:t>
      </w:r>
      <w:r>
        <w:rPr>
          <w:bCs/>
          <w:sz w:val="16"/>
          <w:szCs w:val="16"/>
          <w:lang w:val="en-US"/>
        </w:rPr>
        <w:t>2 2 2 21 8 5 0 0 0 0 0 21 21 21 21 21 21 6 4 33 13 11 2 2 2 2 2 2 2 2 2 2 2 2 2 2 2 39 6 6 36 7 32 40 40 13 1 11 11 2 2 2 2 2 2 2</w:t>
      </w:r>
    </w:p>
    <w:p>
      <w:pPr>
        <w:pStyle w:val="Normal"/>
        <w:jc w:val="center"/>
        <w:rPr>
          <w:bCs/>
          <w:i/>
          <w:i/>
          <w:iCs/>
          <w:sz w:val="20"/>
          <w:szCs w:val="20"/>
          <w:lang w:val="en-US"/>
        </w:rPr>
      </w:pPr>
      <w:r>
        <w:rPr>
          <w:bCs/>
          <w:i/>
          <w:iCs/>
          <w:sz w:val="20"/>
          <w:szCs w:val="20"/>
          <w:lang w:val="en-US"/>
        </w:rPr>
        <w:t>Discretization effect using 10, 20, 50 clusters, and the corresponding to a discreet sequence.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forward-backward algorithm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Training a HMM with the forward – backward algorithm takes into account every possible hidden state sequences to compute the statistics that are necessary for estimating the optimal parameters of a new HMM.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We recall the re-estimations formulas obtained:</w:t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rFonts w:eastAsia="" w:eastAsiaTheme="minorEastAsia"/>
          <w:bCs/>
          <w:iCs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b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d>
            <m:dPr>
              <m:begChr m:val="("/>
              <m:endChr m:val=")"/>
            </m:dPr>
            <m:e>
              <m:sSubSup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m</m:t>
                  </m:r>
                </m:sub>
                <m:sup/>
              </m:sSubSup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eqAr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+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l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</w:rPr>
                            <m:t xml:space="preserve">=</m:t>
                          </m:r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  <m:sup/>
                          </m:sSubSup>
                        </m:e>
                      </m:eqAr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both"/>
        <w:rPr>
          <w:rFonts w:eastAsia="" w:eastAsiaTheme="minorEastAsia"/>
          <w:bCs/>
          <w:iCs/>
        </w:rPr>
      </w:pPr>
      <w:r>
        <w:rPr>
          <w:rFonts w:eastAsia="" w:eastAsiaTheme="minorEastAsia"/>
          <w:bCs/>
          <w:iCs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ij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ij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(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 xml:space="preserve">)</m:t>
                      </m:r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p>
                      </m:sSub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e>
                      </m:d>
                    </m:e>
                  </m:nary>
                </m:e>
              </m:nary>
            </m:den>
          </m:f>
        </m:oMath>
      </m:oMathPara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  <w:t>with</w:t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p</m:t>
              </m:r>
            </m:e>
            <m:sub>
              <m:r>
                <w:rPr>
                  <w:rFonts w:ascii="Cambria Math" w:hAnsi="Cambria Math"/>
                </w:rPr>
                <m:t xml:space="preserve">l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O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p>
            <m:e>
              <m:sSub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e>
          </m:nary>
        </m:oMath>
      </m:oMathPara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 xml:space="preserve">Observe that we can also take account of the finite duration of the observation sequences and state sequences as well, such that we can introduce final states probabilities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</m:oMath>
      <w:r>
        <w:rPr>
          <w:bCs/>
          <w:lang w:val="en-US"/>
        </w:rPr>
        <w:t xml:space="preserve"> that are the probability for state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bCs/>
          <w:lang w:val="en-US"/>
        </w:rPr>
        <w:t xml:space="preserve"> to end the sequence, </w:t>
      </w:r>
      <w:r>
        <w:rPr/>
      </w:r>
      <m:oMath xmlns:m="http://schemas.openxmlformats.org/officeDocument/2006/math">
        <m:sSubSup>
          <m:e>
            <m:sSub>
              <m:e>
                <m:r>
                  <w:rPr>
                    <w:rFonts w:ascii="Cambria Math" w:hAnsi="Cambria Math"/>
                  </w:rPr>
                  <m:t xml:space="preserve">Pf</m:t>
                </m:r>
              </m:e>
              <m:sub/>
            </m:sSub>
          </m:e>
          <m:sub>
            <m:r>
              <w:rPr>
                <w:rFonts w:ascii="Cambria Math" w:hAnsi="Cambria Math"/>
              </w:rPr>
              <m:t xml:space="preserve">i</m:t>
            </m:r>
          </m:sub>
          <m:sup/>
        </m:sSub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)</m:t>
        </m:r>
      </m:oMath>
      <w:r>
        <w:rPr>
          <w:bCs/>
          <w:lang w:val="en-US"/>
        </w:rPr>
        <w:t xml:space="preserve"> .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  <w:t>The re-estimation formula for final probability is the following:</w:t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center"/>
        <w:rPr>
          <w:bCs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sSub>
                <m:e>
                  <m:r>
                    <w:rPr>
                      <w:rFonts w:ascii="Cambria Math" w:hAnsi="Cambria Math"/>
                    </w:rPr>
                    <m:t xml:space="preserve">Pf</m:t>
                  </m:r>
                </m:e>
                <m:sub/>
              </m:sSub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/>
          </m:sSubSup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sSubSup>
                <m:e>
                  <m:r>
                    <w:rPr>
                      <w:rFonts w:ascii="Cambria Math" w:hAnsi="Cambria Math"/>
                    </w:rPr>
                    <m:t xml:space="preserve">α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  <m:sSubSup>
                <m:e>
                  <m:r>
                    <w:rPr>
                      <w:rFonts w:ascii="Cambria Math" w:hAnsi="Cambria Math"/>
                    </w:rPr>
                    <m:t xml:space="preserve">β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</m:sSub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num>
            <m:den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</m:sup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sub>
                      </m:sSub>
                    </m:den>
                  </m:f>
                </m:e>
              </m:nary>
              <m:nary>
                <m:naryPr>
                  <m:chr m:val="∑"/>
                </m:naryPr>
                <m:sub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p>
                <m:e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  <m:sSubSup>
                    <m:e>
                      <m:r>
                        <w:rPr>
                          <w:rFonts w:ascii="Cambria Math" w:hAnsi="Cambria Math"/>
                        </w:rPr>
                        <m:t xml:space="preserve"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</m:sup>
                  </m:sSub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e>
              </m:nary>
            </m:den>
          </m:f>
        </m:oMath>
      </m:oMathPara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1: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Training with multiple examples.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The re-estimation formulas below suggest that we need to sum the contribution of each training example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l</m:t>
        </m:r>
      </m:oMath>
      <w:r>
        <w:rPr>
          <w:rFonts w:cs="Arial" w:ascii="Arial" w:hAnsi="Arial"/>
          <w:bCs/>
          <w:sz w:val="20"/>
          <w:szCs w:val="20"/>
          <w:lang w:val="en-US"/>
        </w:rPr>
        <w:t>to the numerator and to the denominator of each of the tree quantities to estimate.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Observe that since we work with </w:t>
      </w:r>
      <w:r>
        <w:rPr>
          <w:rFonts w:cs="Arial" w:ascii="Arial" w:hAnsi="Arial"/>
          <w:bCs/>
          <w:i/>
          <w:iCs/>
          <w:sz w:val="20"/>
          <w:szCs w:val="20"/>
          <w:lang w:val="en-US"/>
        </w:rPr>
        <w:t>left-to-right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models the initial probability and final probability vectors remain unchanged during training, and there is no need to res-estimate them.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following methods that cumulate the statistics (in log scale) of the numerators and the denominator of the re-estimation formulas.</w:t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sum_den</w:t>
      </w:r>
      <w:r>
        <w:rPr>
          <w:rFonts w:cs="Courier New" w:ascii="Courier New" w:hAnsi="Courier New"/>
          <w:sz w:val="18"/>
          <w:szCs w:val="18"/>
          <w:lang w:val="en-US"/>
        </w:rPr>
        <w:t xml:space="preserve">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sum_A_num</w:t>
      </w:r>
      <w:r>
        <w:rPr>
          <w:rFonts w:cs="Courier New" w:ascii="Courier New" w:hAnsi="Courier New"/>
          <w:sz w:val="18"/>
          <w:szCs w:val="18"/>
          <w:lang w:val="en-US"/>
        </w:rPr>
        <w:t>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(self,train_data,fwd,bwd, </w:t>
      </w:r>
      <w:r>
        <w:rPr>
          <w:rFonts w:cs="Courier New" w:ascii="Courier New" w:hAnsi="Courier New"/>
          <w:b/>
          <w:bCs/>
          <w:sz w:val="18"/>
          <w:szCs w:val="18"/>
          <w:lang w:val="en-US"/>
        </w:rPr>
        <w:t>sum_B_num</w:t>
      </w:r>
      <w:r>
        <w:rPr>
          <w:rFonts w:cs="Courier New" w:ascii="Courier New" w:hAnsi="Courier New"/>
          <w:sz w:val="18"/>
          <w:szCs w:val="18"/>
          <w:lang w:val="en-US"/>
        </w:rPr>
        <w:t>,log_likelihood):</w:t>
      </w:r>
    </w:p>
    <w:p>
      <w:pPr>
        <w:pStyle w:val="Normal"/>
        <w:shd w:val="clear" w:color="auto" w:fill="F2F2F2" w:themeFill="background1" w:themeFillShade="f2"/>
        <w:rPr>
          <w:bCs/>
          <w:i/>
          <w:i/>
          <w:iCs/>
          <w:sz w:val="18"/>
          <w:szCs w:val="18"/>
          <w:lang w:val="en-US"/>
        </w:rPr>
      </w:pPr>
      <w:r>
        <w:rPr>
          <w:bCs/>
          <w:i/>
          <w:iCs/>
          <w:sz w:val="18"/>
          <w:szCs w:val="18"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with the following variables: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v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clusters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</w:t>
      </w:r>
    </w:p>
    <w:p>
      <w:pPr>
        <w:pStyle w:val="Normal"/>
        <w:ind w:left="708"/>
        <w:rPr>
          <w:rFonts w:ascii="Courier New" w:hAnsi="Courier New" w:cs="Courier New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j</m:t>
                </m:r>
              </m:e>
            </m:d>
          </m:e>
        </m:nary>
      </m:oMath>
      <w:r>
        <w:rPr>
          <w:rFonts w:eastAsia="" w:cs="Courier New" w:ascii="Courier New" w:hAnsi="Courier New" w:eastAsiaTheme="minorEastAsia"/>
          <w:bCs/>
          <w:sz w:val="20"/>
          <w:szCs w:val="20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∧</m:t>
        </m:r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ind w:left="708"/>
        <w:rPr>
          <w:rFonts w:ascii="Courier New" w:hAnsi="Courier New" w:eastAsia="" w:cs="Courier New" w:eastAsiaTheme="minorEastAsia"/>
          <w:bCs/>
          <w:sz w:val="20"/>
          <w:szCs w:val="20"/>
          <w:lang w:val="en-US"/>
        </w:rPr>
      </w:pPr>
      <w:r>
        <w:rPr/>
      </w:r>
      <m:oMath xmlns:m="http://schemas.openxmlformats.org/officeDocument/2006/math">
        <m:nary>
          <m:naryPr>
            <m:chr m:val="∑"/>
            <m:subHide m:val="1"/>
            <m:supHide m:val="1"/>
          </m:naryPr>
          <m:sub/>
          <m:sup/>
          <m:e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</m:d>
          </m:e>
        </m:nary>
      </m:oMath>
      <w:r>
        <w:rPr>
          <w:rFonts w:cs="Courier New" w:ascii="Courier New" w:hAnsi="Courier New"/>
          <w:bCs/>
          <w:sz w:val="20"/>
          <w:szCs w:val="20"/>
          <w:lang w:val="en-US"/>
        </w:rPr>
        <w:t xml:space="preserve">  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with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states</m:t>
            </m:r>
          </m:sub>
        </m:sSub>
        <m:r>
          <w:rPr>
            <w:rFonts w:ascii="Cambria Math" w:hAnsi="Cambria Math"/>
          </w:rPr>
          <m:t xml:space="preserve">–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Such that the estimation step, the M step, corresponds to the following method: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>def Mstep(self,sum_B_num,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SUM_DEN_A =np.repeat(sum_den,self.n_states).reshape(self.n_states,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self.n_states)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SUM_DEN_B = np.repeat(sum_den,self.n_clusters).reshape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      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(self.n_states,self.n_clusters)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self.log_A = sum_A_num - SUM_DEN_A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 = sum_B_num - SUM_DEN_B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  <w:r>
        <w:rPr>
          <w:rFonts w:cs="Courier New" w:ascii="Courier New" w:hAnsi="Courier New"/>
          <w:bCs/>
          <w:sz w:val="18"/>
          <w:szCs w:val="18"/>
          <w:lang w:val="en-US"/>
        </w:rPr>
        <w:t>self.log_B[np.equal(self.log_B,float('-inf'))] = self.log_epsilon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bCs/>
          <w:sz w:val="18"/>
          <w:szCs w:val="18"/>
          <w:lang w:val="en-US"/>
        </w:rPr>
      </w:pPr>
      <w:r>
        <w:rPr>
          <w:rFonts w:cs="Courier New" w:ascii="Courier New" w:hAnsi="Courier New"/>
          <w:bCs/>
          <w:sz w:val="18"/>
          <w:szCs w:val="18"/>
          <w:lang w:val="en-US"/>
        </w:rPr>
        <w:t xml:space="preserve">        </w:t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b/>
          <w:i/>
          <w:i/>
          <w:iCs/>
          <w:lang w:val="en-US"/>
        </w:rPr>
      </w:pPr>
      <w:r>
        <w:rPr>
          <w:b/>
          <w:i/>
          <w:i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2: Digit recognition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Use the given program to train the 10 digit models. At each iteration of the EM algorithm the model is tested on the validation dataset by calling the </w:t>
      </w:r>
      <w:r>
        <w:rPr>
          <w:rFonts w:cs="Courier New" w:ascii="Courier New" w:hAnsi="Courier New"/>
          <w:bCs/>
          <w:sz w:val="20"/>
          <w:szCs w:val="20"/>
          <w:lang w:val="en-US"/>
        </w:rPr>
        <w:t>Log_likelihood(valid_data)</w:t>
      </w:r>
      <w:r>
        <w:rPr>
          <w:rFonts w:cs="Arial" w:ascii="Arial" w:hAnsi="Arial"/>
          <w:bCs/>
          <w:sz w:val="20"/>
          <w:szCs w:val="20"/>
          <w:lang w:val="en-US"/>
        </w:rPr>
        <w:t xml:space="preserve"> method. The best model is saved through the iterations. The number of EM iterations is fixed to Max_EM_iter 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(images saved)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Run the recognition step on the MNIST test dataset composed of 10 000 digit images by putting </w:t>
      </w:r>
      <w:r>
        <w:rPr>
          <w:rFonts w:cs="Courier New" w:ascii="Courier New" w:hAnsi="Courier New"/>
          <w:bCs/>
          <w:sz w:val="20"/>
          <w:szCs w:val="20"/>
          <w:lang w:val="en-US"/>
        </w:rPr>
        <w:t>TRAINING = False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where RR stand for the Recognition Rate computed on un-seen examples during training, i.e. on the test set made of 10 000 examples.</w:t>
      </w:r>
    </w:p>
    <w:p>
      <w:pPr>
        <w:pStyle w:val="ListParagrap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Draw some conclusion.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84.98 %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88,94 %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 xml:space="preserve">87.04 </w:t>
            </w: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shd w:fill="auto" w:val="clear"/>
                <w:lang w:val="fr-FR" w:eastAsia="en-US" w:bidi="ar-SA"/>
              </w:rPr>
              <w:t>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Texteprformat"/>
              <w:widowControl/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 w:ascii="Calibri" w:hAnsi="Calibri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90.64 %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91.42 %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89.98 %</w:t>
            </w:r>
          </w:p>
        </w:tc>
      </w:tr>
    </w:tbl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Durante o treinamento de cada uma das classes, grande parte das curvas de vraissamblance para o treinamento e a validaçao apresentaram o comportamento esperado, ou seja, uma fase inicial de crescimento seguida de estagnaçao para o treinamento e decrescimento para a validaçao, como visto na figura. Dessa forma, foram escolhidos os modelos com a maior vraissamblance em validaçao.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3215" cy="2249170"/>
            <wp:effectExtent l="0" t="0" r="0" b="0"/>
            <wp:wrapTopAndBottom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21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Deve ser ressaltada a existencia de classes onde a curva de validaçao apresentou melhor resultado que o treinamento, isso é possivel caso o dataset de valid seja mais simples ou tenha uma distribuiçao menos dispersa. Isso pode ser visto na figura.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1202690</wp:posOffset>
            </wp:positionH>
            <wp:positionV relativeFrom="paragraph">
              <wp:posOffset>165735</wp:posOffset>
            </wp:positionV>
            <wp:extent cx="3146425" cy="2416175"/>
            <wp:effectExtent l="0" t="0" r="0" b="0"/>
            <wp:wrapTopAndBottom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42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Foram vistos também treinamentos nao finalizados nas 20 epocas, ou seja, onde a curva de vraissamblance de validaçao ainda estava em fase de crescimento, que também pode ser visto na figura. Isso indica que aumentar a quantidade de epocas poderia melhorar o resultado final de RR, mas com certo custo no aumento no tempo de treinamento.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Como esperado, o resultado de recognition rate é maior para valores maiores de states e clusters, atingindo o valor de 91,42% para o melhor modelo com 10k exemplos. É importente evidenciar que é possivel atingir resultados de RR superiores à 99% com CNNs simples ou outros modelos de classificaçao no dataset MNIST, o que indica que este modelo nao performou bem.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  <w:t>No que se refere ao tamanho do dataset de treinamento, o resultados do modelo de 54k exemplos nao foi melhor que do modelo com apenas 10k exemplos, pois o</w:t>
      </w:r>
      <w:r>
        <w:rPr>
          <w:rFonts w:cs="Arial" w:ascii="Arial" w:hAnsi="Arial"/>
          <w:b/>
          <w:color w:val="C9211E"/>
          <w:lang w:val="en-US"/>
        </w:rPr>
        <w:t xml:space="preserve">s outros exemplos podem ter trazido uma variaçao maior aos dados, que o </w:t>
      </w:r>
      <w:r>
        <w:rPr>
          <w:rFonts w:cs="Arial" w:ascii="Arial" w:hAnsi="Arial"/>
          <w:b/>
          <w:color w:val="C9211E"/>
          <w:lang w:val="en-US"/>
        </w:rPr>
        <w:t xml:space="preserve">modelo FowardBackward nao </w:t>
      </w:r>
      <w:r>
        <w:rPr>
          <w:rFonts w:cs="Arial" w:ascii="Arial" w:hAnsi="Arial"/>
          <w:b/>
          <w:color w:val="C9211E"/>
          <w:lang w:val="en-US"/>
        </w:rPr>
        <w:t>foi</w:t>
      </w:r>
      <w:r>
        <w:rPr>
          <w:rFonts w:cs="Arial" w:ascii="Arial" w:hAnsi="Arial"/>
          <w:b/>
          <w:color w:val="C9211E"/>
          <w:lang w:val="en-US"/>
        </w:rPr>
        <w:t xml:space="preserve"> forte o suficiente para </w:t>
      </w:r>
      <w:r>
        <w:rPr>
          <w:rFonts w:cs="Arial" w:ascii="Arial" w:hAnsi="Arial"/>
          <w:b/>
          <w:color w:val="C9211E"/>
          <w:lang w:val="en-US"/>
        </w:rPr>
        <w:t>aprender</w:t>
      </w:r>
      <w:r>
        <w:rPr>
          <w:rFonts w:cs="Arial" w:ascii="Arial" w:hAnsi="Arial"/>
          <w:b/>
          <w:color w:val="C9211E"/>
          <w:lang w:val="en-US"/>
        </w:rPr>
        <w:t xml:space="preserve">. Além disso, o tempo de treinamento foi bastante longo, o que sugere que aumentar o numero de exemplos possa nao ser interessante para o modelo FowardBackward. </w:t>
      </w:r>
    </w:p>
    <w:p>
      <w:pPr>
        <w:pStyle w:val="ListParagraph"/>
        <w:jc w:val="both"/>
        <w:rPr>
          <w:rFonts w:ascii="Arial" w:hAnsi="Arial" w:cs="Arial"/>
          <w:b/>
          <w:color w:val="C9211E"/>
          <w:lang w:val="en-US"/>
        </w:rPr>
      </w:pPr>
      <w:r>
        <w:rPr>
          <w:rFonts w:cs="Arial" w:ascii="Arial" w:hAnsi="Arial"/>
          <w:b/>
          <w:color w:val="C9211E"/>
          <w:lang w:val="en-US"/>
        </w:rPr>
      </w:r>
    </w:p>
    <w:p>
      <w:pPr>
        <w:pStyle w:val="ListParagraph"/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lang w:val="en-US"/>
        </w:rPr>
      </w:pPr>
      <w:r>
        <w:rPr>
          <w:rFonts w:cs="Arial" w:ascii="Arial" w:hAnsi="Arial"/>
          <w:b/>
          <w:lang w:val="en-US"/>
        </w:rPr>
        <w:t>Training HMM with the Viterbi algorithm</w:t>
      </w:r>
    </w:p>
    <w:p>
      <w:pPr>
        <w:pStyle w:val="Normal"/>
        <w:rPr>
          <w:rFonts w:ascii="Arial" w:hAnsi="Arial" w:cs="Arial"/>
          <w:b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/>
          <w:i/>
          <w:iCs/>
          <w:sz w:val="20"/>
          <w:szCs w:val="20"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3: Training with VITERBI</w:t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Using the Viterbi algorithm, it is possible de estimate the missing hidden states using a hard assignment. </w:t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cumulates the statics along the Viterbi path. </w:t>
      </w:r>
    </w:p>
    <w:p>
      <w:pPr>
        <w:pStyle w:val="ListParagraph"/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cumulate_den_viterbi</w:t>
      </w:r>
      <w:r>
        <w:rPr>
          <w:rFonts w:cs="Courier New" w:ascii="Courier New" w:hAnsi="Courier New"/>
          <w:sz w:val="18"/>
          <w:szCs w:val="18"/>
          <w:lang w:val="en-US"/>
        </w:rPr>
        <w:t xml:space="preserve">(self,T,fwd,bwd, sum_den,log_likelihood):  </w:t>
      </w:r>
    </w:p>
    <w:p>
      <w:pPr>
        <w:pStyle w:val="Normal"/>
        <w:shd w:val="clear" w:color="auto" w:fill="F2F2F2" w:themeFill="background1" w:themeFillShade="f2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ListParagraph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cumulate_A_num_viterbi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(self,train_data,fwd_lattice,bwd_lattice,sum_A_num,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log_likelihood):</w:t>
      </w:r>
    </w:p>
    <w:p>
      <w:pPr>
        <w:pStyle w:val="Normal"/>
        <w:shd w:val="clear" w:color="auto" w:fill="F2F2F2" w:themeFill="background1" w:themeFillShade="f2"/>
        <w:rPr>
          <w:bCs/>
          <w:sz w:val="18"/>
          <w:szCs w:val="18"/>
          <w:lang w:val="en-US"/>
        </w:rPr>
      </w:pPr>
      <w:r>
        <w:rPr>
          <w:bCs/>
          <w:sz w:val="18"/>
          <w:szCs w:val="18"/>
          <w:lang w:val="en-US"/>
        </w:rPr>
      </w:r>
    </w:p>
    <w:p>
      <w:pPr>
        <w:pStyle w:val="ListParagraph"/>
        <w:rPr>
          <w:b/>
          <w:i/>
          <w:i/>
          <w:iCs/>
          <w:sz w:val="18"/>
          <w:szCs w:val="18"/>
          <w:lang w:val="en-US"/>
        </w:rPr>
      </w:pPr>
      <w:r>
        <w:rPr>
          <w:b/>
          <w:i/>
          <w:iCs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cumulate_B_num_viterbi</w:t>
      </w:r>
      <w:r>
        <w:rPr>
          <w:rFonts w:cs="Courier New" w:ascii="Courier New" w:hAnsi="Courier New"/>
          <w:sz w:val="18"/>
          <w:szCs w:val="18"/>
          <w:lang w:val="en-US"/>
        </w:rPr>
        <w:t>(self,train_data,fwd,bwd, sum_B_num,log_likelihood):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 xml:space="preserve">Write the methods that trains a HMM using Viterbi, filling the method TrainViterbi defined below and provided in hmm.py. 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b/>
          <w:bCs/>
          <w:sz w:val="18"/>
          <w:szCs w:val="18"/>
          <w:lang w:val="en-US"/>
        </w:rPr>
        <w:t>def TrainViterbi</w:t>
      </w:r>
      <w:r>
        <w:rPr>
          <w:rFonts w:cs="Courier New" w:ascii="Courier New" w:hAnsi="Courier New"/>
          <w:sz w:val="18"/>
          <w:szCs w:val="18"/>
          <w:lang w:val="en-US"/>
        </w:rPr>
        <w:t>(self,classe,train_data,valid_data,Max_EM_iter,dir_name,file_name):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return LL_train_history/n_train, LL_valid_history/n_valid, best_iteration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Write the methods MStepViterbi( ), filling the method TrainViterbi defined below and provided in hmm.py.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  <w:t>def MstepViterbi(self,sum_B_num, sum_den, sum_A_num):</w:t>
      </w:r>
    </w:p>
    <w:p>
      <w:pPr>
        <w:pStyle w:val="Normal"/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  <w:lang w:val="en-US"/>
        </w:rPr>
      </w:pPr>
      <w:r>
        <w:rPr>
          <w:rFonts w:cs="Courier New" w:ascii="Courier New" w:hAnsi="Courier New"/>
          <w:sz w:val="18"/>
          <w:szCs w:val="18"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cs="Arial" w:ascii="Arial" w:hAnsi="Arial"/>
          <w:b/>
          <w:sz w:val="20"/>
          <w:szCs w:val="20"/>
          <w:lang w:val="en-US"/>
        </w:rPr>
        <w:t>Question 4: Recognition</w:t>
      </w:r>
    </w:p>
    <w:p>
      <w:pPr>
        <w:pStyle w:val="Normal"/>
        <w:jc w:val="both"/>
        <w:rPr>
          <w:bCs/>
          <w:lang w:val="en-US"/>
        </w:rPr>
      </w:pPr>
      <w:r>
        <w:rPr>
          <w:bCs/>
          <w:lang w:val="en-US"/>
        </w:rPr>
      </w:r>
    </w:p>
    <w:p>
      <w:pPr>
        <w:pStyle w:val="ListParagraph"/>
        <w:numPr>
          <w:ilvl w:val="0"/>
          <w:numId w:val="3"/>
        </w:numPr>
        <w:rPr>
          <w:bCs/>
          <w:i/>
          <w:i/>
          <w:iCs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Use the given program to train the 10 digit models. At each iteration of the EM algorithm the model is tested on the validation dataset by calling the</w:t>
      </w:r>
      <w:r>
        <w:rPr>
          <w:bCs/>
          <w:i/>
          <w:iCs/>
          <w:lang w:val="en-US"/>
        </w:rPr>
        <w:t xml:space="preserve"> 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 xml:space="preserve">Log_likelihood(valid_data). </w:t>
      </w:r>
      <w:r>
        <w:rPr>
          <w:rFonts w:cs="Arial" w:ascii="Arial" w:hAnsi="Arial"/>
          <w:bCs/>
          <w:sz w:val="20"/>
          <w:szCs w:val="20"/>
          <w:lang w:val="en-US"/>
        </w:rPr>
        <w:t>The best model is saved through the iterations. The number of EM iterations is fixed to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Max_EM_iter</w:t>
      </w:r>
      <w:r>
        <w:rPr>
          <w:bCs/>
          <w:i/>
          <w:iCs/>
          <w:lang w:val="en-US"/>
        </w:rPr>
        <w:t xml:space="preserve"> 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Comment and analyze the training and validation loss through the epochs, compare the curves with those of the froward Backward training.</w:t>
      </w:r>
    </w:p>
    <w:p>
      <w:pPr>
        <w:pStyle w:val="Normal"/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Courier New" w:hAnsi="Courier New" w:cs="Courier New"/>
          <w:bCs/>
          <w:i/>
          <w:i/>
          <w:i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Run the recognition step on the MNIST test dataset composed of 10 000 digit images by putting</w:t>
      </w:r>
      <w:r>
        <w:rPr>
          <w:bCs/>
          <w:i/>
          <w:iCs/>
          <w:lang w:val="en-US"/>
        </w:rPr>
        <w:t xml:space="preserve"> </w:t>
      </w:r>
      <w:r>
        <w:rPr>
          <w:rFonts w:cs="Courier New" w:ascii="Courier New" w:hAnsi="Courier New"/>
          <w:bCs/>
          <w:i/>
          <w:iCs/>
          <w:sz w:val="20"/>
          <w:szCs w:val="20"/>
          <w:lang w:val="en-US"/>
        </w:rPr>
        <w:t>TRAINING = False</w:t>
      </w:r>
    </w:p>
    <w:p>
      <w:pPr>
        <w:pStyle w:val="Normal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0"/>
          <w:szCs w:val="20"/>
          <w:lang w:val="en-US"/>
        </w:rPr>
      </w:pPr>
      <w:r>
        <w:rPr>
          <w:rFonts w:cs="Arial" w:ascii="Arial" w:hAnsi="Arial"/>
          <w:bCs/>
          <w:sz w:val="20"/>
          <w:szCs w:val="20"/>
          <w:lang w:val="en-US"/>
        </w:rPr>
        <w:t>Fill in the table below and draw some conclusion by comparing these results with those obtained using Forward Backward training.</w:t>
      </w:r>
    </w:p>
    <w:p>
      <w:pPr>
        <w:pStyle w:val="ListParagraph"/>
        <w:ind w:left="0"/>
        <w:jc w:val="both"/>
        <w:rPr>
          <w:bCs/>
          <w:i/>
          <w:i/>
          <w:iCs/>
          <w:lang w:val="en-US"/>
        </w:rPr>
      </w:pPr>
      <w:r>
        <w:rPr>
          <w:bCs/>
          <w:i/>
          <w:iCs/>
          <w:lang w:val="en-US"/>
        </w:rPr>
      </w:r>
    </w:p>
    <w:tbl>
      <w:tblPr>
        <w:tblStyle w:val="Grilledutableau"/>
        <w:tblW w:w="666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7"/>
        <w:gridCol w:w="1667"/>
        <w:gridCol w:w="1667"/>
        <w:gridCol w:w="1667"/>
      </w:tblGrid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N_train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n_cluster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n_states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RR (%) test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81.57 %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85.2 %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87.78 %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84.78 %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88.04 %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89.4 %</w:t>
            </w:r>
          </w:p>
        </w:tc>
      </w:tr>
      <w:tr>
        <w:trPr/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54 000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suppressAutoHyphens w:val="true"/>
              <w:spacing w:before="0" w:after="0"/>
              <w:ind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fr-FR" w:eastAsia="en-US" w:bidi="ar-SA"/>
              </w:rPr>
              <w:t>15</w:t>
            </w:r>
          </w:p>
        </w:tc>
        <w:tc>
          <w:tcPr>
            <w:tcW w:w="1667" w:type="dxa"/>
            <w:tcBorders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0"/>
              <w:contextualSpacing/>
              <w:jc w:val="left"/>
              <w:rPr>
                <w:bCs/>
                <w:i/>
                <w:i/>
                <w:iCs/>
              </w:rPr>
            </w:pPr>
            <w:r>
              <w:rPr>
                <w:bCs/>
                <w:i/>
                <w:iCs/>
              </w:rPr>
              <w:t>81.24 %</w:t>
            </w:r>
          </w:p>
        </w:tc>
      </w:tr>
    </w:tbl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rPr>
          <w:bCs/>
          <w:lang w:val="en-US"/>
        </w:rPr>
      </w:pPr>
      <w:r>
        <w:rPr>
          <w:bCs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 xml:space="preserve">É evidente que o treinamento utilizando o método Viterbi foi mais rapido que para o FowardBacward, porém este apresentou um resultado de recognition rate inferior. Isso pode ter sido causado pelo constante atingimento de minimos locais 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>Funciona, mas cai no caso de minimo local. Nos da apenas uma sequencia de etat cache, que preve de forma binaria, entao preve mal no inicio, começa mal. FB faz a média e guarda todas as informaçoes entao nao parte na direçao errada.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>
          <w:b/>
          <w:bCs/>
          <w:color w:val="C9211E"/>
          <w:lang w:val="en-US"/>
        </w:rPr>
        <w:t>Novamente, aumentar o numero de exemplos ocasionou na diminuiçao do RR, o que sugere que a variaçao dos exemplos adicionados trazem consigo uma maior complexidade para os dados, o que atrapalha na representaçao do modelo.</w:t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90875" cy="251015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</w:r>
    </w:p>
    <w:p>
      <w:pPr>
        <w:pStyle w:val="Normal"/>
        <w:jc w:val="both"/>
        <w:rPr>
          <w:b/>
          <w:bCs/>
          <w:color w:val="C9211E"/>
          <w:lang w:val="en-US"/>
        </w:rPr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16230"/>
            <wp:effectExtent l="0" t="0" r="0" b="0"/>
            <wp:wrapSquare wrapText="largest"/>
            <wp:docPr id="10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1" name="Cadr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1249268368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1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1249268368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0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2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8105" cy="184785"/>
              <wp:effectExtent l="0" t="0" r="0" b="0"/>
              <wp:wrapNone/>
              <wp:docPr id="13" name="Cadr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" cy="184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docPartObj>
                              <w:docPartGallery w:val="Page Numbers (Bottom of Page)"/>
                              <w:docPartUnique w:val="true"/>
                            </w:docPartObj>
                            <w:id w:val="-7147685"/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6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adre2" path="m0,0l-2147483645,0l-2147483645,-2147483646l0,-2147483646xe" stroked="f" o:allowincell="f" style="position:absolute;margin-left:223.7pt;margin-top:0.05pt;width:6.1pt;height:14.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-7147685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6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61397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c4785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qFormat/>
    <w:rsid w:val="00c47856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b3918"/>
    <w:rPr>
      <w:color w:themeColor="followedHyperlink" w:val="954F72"/>
      <w:u w:val="single"/>
    </w:rPr>
  </w:style>
  <w:style w:type="character" w:styleId="En-tteCar" w:customStyle="1">
    <w:name w:val="En-tête Car"/>
    <w:basedOn w:val="DefaultParagraphFont"/>
    <w:uiPriority w:val="99"/>
    <w:qFormat/>
    <w:rsid w:val="00e434f6"/>
    <w:rPr/>
  </w:style>
  <w:style w:type="character" w:styleId="PieddepageCar" w:customStyle="1">
    <w:name w:val="Pied de page Car"/>
    <w:basedOn w:val="DefaultParagraphFont"/>
    <w:uiPriority w:val="99"/>
    <w:qFormat/>
    <w:rsid w:val="00e434f6"/>
    <w:rPr/>
  </w:style>
  <w:style w:type="character" w:styleId="PageNumber">
    <w:name w:val="Page Number"/>
    <w:basedOn w:val="DefaultParagraphFont"/>
    <w:uiPriority w:val="99"/>
    <w:semiHidden/>
    <w:unhideWhenUsed/>
    <w:rsid w:val="00e434f6"/>
    <w:rPr/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1396a"/>
    <w:pPr>
      <w:spacing w:before="0" w:after="0"/>
      <w:ind w:left="720"/>
      <w:contextualSpacing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e434f6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numbering" w:styleId="Listeactuelle1" w:customStyle="1">
    <w:name w:val="Liste actuelle1"/>
    <w:uiPriority w:val="99"/>
    <w:qFormat/>
    <w:rsid w:val="00f93908"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050f6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Bureau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Application>LibreOffice/24.2.7.2$Linux_X86_64 LibreOffice_project/420$Build-2</Application>
  <AppVersion>15.0000</AppVersion>
  <Pages>6</Pages>
  <Words>1371</Words>
  <Characters>6912</Characters>
  <CharactersWithSpaces>8315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2024-09-24T12:18:00Z</dcterms:created>
  <dc:creator>Utilisateur Microsoft Office</dc:creator>
  <dc:description/>
  <dc:language>fr-FR</dc:language>
  <cp:lastModifiedBy/>
  <cp:lastPrinted>2019-09-16T12:14:00Z</cp:lastPrinted>
  <dcterms:modified xsi:type="dcterms:W3CDTF">2025-10-08T13:57:20Z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