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sz w:val="20"/>
        </w:rPr>
      </w:pPr>
      <w: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-30480</wp:posOffset>
            </wp:positionH>
            <wp:positionV relativeFrom="paragraph">
              <wp:posOffset>-154305</wp:posOffset>
            </wp:positionV>
            <wp:extent cx="1033145" cy="671830"/>
            <wp:effectExtent l="0" t="0" r="0" b="0"/>
            <wp:wrapNone/>
            <wp:docPr id="1" name="Picture 7" descr="http://mastersid.univ-rouen.fr/images/logoSI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" descr="http://mastersid.univ-rouen.fr/images/logoSID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3145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3686175</wp:posOffset>
            </wp:positionH>
            <wp:positionV relativeFrom="paragraph">
              <wp:posOffset>-104140</wp:posOffset>
            </wp:positionV>
            <wp:extent cx="1713865" cy="615315"/>
            <wp:effectExtent l="0" t="0" r="0" b="0"/>
            <wp:wrapNone/>
            <wp:docPr id="2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86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tab/>
      </w:r>
    </w:p>
    <w:p>
      <w:pPr>
        <w:pStyle w:val="Normal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rPr>
          <w:b/>
          <w:sz w:val="20"/>
          <w:lang w:val="en-US"/>
        </w:rPr>
      </w:pPr>
      <w:r>
        <w:rPr>
          <w:b/>
          <w:sz w:val="20"/>
        </w:rPr>
        <w:tab/>
        <w:tab/>
        <w:tab/>
        <w:tab/>
        <w:tab/>
        <w:tab/>
      </w:r>
      <w:r>
        <w:rPr>
          <w:b/>
          <w:sz w:val="20"/>
          <w:lang w:val="en-US"/>
        </w:rPr>
        <w:t xml:space="preserve">      </w:t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Master 2</w:t>
        <w:tab/>
        <w:tab/>
        <w:tab/>
        <w:tab/>
        <w:tab/>
        <w:t xml:space="preserve">               </w:t>
        <w:tab/>
      </w:r>
      <w:r>
        <w:rPr>
          <w:b/>
          <w:lang w:val="en-US"/>
        </w:rPr>
        <w:t>Machine Learning on Sequences</w:t>
      </w:r>
      <w:r>
        <w:rPr>
          <w:i/>
          <w:iCs/>
          <w:lang w:val="en-US"/>
        </w:rPr>
        <w:tab/>
      </w:r>
    </w:p>
    <w:p>
      <w:pPr>
        <w:pStyle w:val="Normal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Practical work 2:</w:t>
      </w:r>
    </w:p>
    <w:p>
      <w:pPr>
        <w:pStyle w:val="Normal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 xml:space="preserve">Hidden Markov Models (HMM) </w:t>
      </w:r>
    </w:p>
    <w:p>
      <w:pPr>
        <w:pStyle w:val="Normal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Forward-Backward versus Viterbi training</w:t>
      </w:r>
    </w:p>
    <w:p>
      <w:pPr>
        <w:pStyle w:val="Normal"/>
        <w:spacing w:lineRule="atLeast" w:line="360"/>
        <w:jc w:val="center"/>
        <w:rPr>
          <w:lang w:val="en-US"/>
        </w:rPr>
      </w:pPr>
      <w:r>
        <w:rPr>
          <w:u w:val="single"/>
          <w:lang w:val="en-US"/>
        </w:rPr>
        <w:tab/>
        <w:tab/>
        <w:tab/>
        <w:tab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In this session we focus on training semi continuous Hidden Makov Models for handwritten digit recognition. We recall that images are 28X28 as shown on figure below.</w:t>
      </w:r>
    </w:p>
    <w:p>
      <w:pPr>
        <w:pStyle w:val="Normal"/>
        <w:jc w:val="center"/>
        <w:rPr>
          <w:bCs/>
        </w:rPr>
      </w:pPr>
      <w:r>
        <w:rPr/>
        <w:drawing>
          <wp:inline distT="0" distB="0" distL="0" distR="0">
            <wp:extent cx="1035050" cy="575945"/>
            <wp:effectExtent l="0" t="0" r="0" b="0"/>
            <wp:docPr id="3" name="Image 687312517" descr="Une image contenant ligne, symbole, diagramm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687312517" descr="Une image contenant ligne, symbole, diagramme, capture d’écra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05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bCs/>
          <w:i/>
          <w:i/>
          <w:iCs/>
          <w:sz w:val="20"/>
          <w:szCs w:val="20"/>
          <w:lang w:val="en-US"/>
        </w:rPr>
      </w:pPr>
      <w:r>
        <w:rPr>
          <w:bCs/>
          <w:i/>
          <w:iCs/>
          <w:sz w:val="20"/>
          <w:szCs w:val="20"/>
          <w:lang w:val="en-US"/>
        </w:rPr>
        <w:t>Exemple of image digit of the MNIST dataset.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Recall that semi-continuous HMM are discreet HMM that have discret input sequences where the input have been discretized through a clustering preprocessing stage, which in the present case assigns a single ID to every columns of 28 pixels as depicted on figures below. The size of the codebook induces a discretization effect, the larger the codebook, the lower the discretization error. Notice that the codebook is shared by the different HMM. In this exercise you can choose to</w:t>
      </w:r>
      <w:r>
        <w:rPr>
          <w:bCs/>
          <w:lang w:val="en-US"/>
        </w:rPr>
        <w:t xml:space="preserve"> use two </w:t>
      </w:r>
      <w:r>
        <w:rPr>
          <w:rFonts w:cs="Arial" w:ascii="Arial" w:hAnsi="Arial"/>
          <w:bCs/>
          <w:sz w:val="20"/>
          <w:szCs w:val="20"/>
          <w:lang w:val="en-US"/>
        </w:rPr>
        <w:t>different codebooks of size 50 and 100 clusters.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jc w:val="center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center"/>
        <w:rPr>
          <w:bCs/>
          <w:sz w:val="13"/>
          <w:szCs w:val="13"/>
          <w:lang w:val="en-US"/>
        </w:rPr>
      </w:pPr>
      <w:r>
        <w:rPr/>
        <w:drawing>
          <wp:inline distT="0" distB="0" distL="0" distR="0">
            <wp:extent cx="1035050" cy="575945"/>
            <wp:effectExtent l="0" t="0" r="0" b="0"/>
            <wp:docPr id="4" name="Imag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05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13"/>
          <w:sz w:val="13"/>
          <w:szCs w:val="13"/>
        </w:rPr>
        <w:t>﻿</w:t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  <w:t>0 0 0 5 1 1 0 0 0 0 0 0 0 0 0 0 0 4 7 7 5 2 0 0 0 0 0 0 0 0 0 0 0 0 0 0 0 4 4 4 6 9 9 5 5 2 2 2 2 0 0 0 0 0 0 0</w:t>
      </w:r>
    </w:p>
    <w:p>
      <w:pPr>
        <w:pStyle w:val="Normal"/>
        <w:jc w:val="both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/>
        <w:drawing>
          <wp:inline distT="0" distB="0" distL="0" distR="0">
            <wp:extent cx="1003300" cy="558165"/>
            <wp:effectExtent l="0" t="0" r="0" b="0"/>
            <wp:docPr id="5" name="Imag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330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16"/>
          <w:sz w:val="16"/>
          <w:szCs w:val="16"/>
        </w:rPr>
        <w:t>﻿﻿</w:t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  <w:t>1 1 1 19 2 2 1 1 1 8 1 1 1 1 1 1 1 5 5 2 6 16 1 1 1 1 1 1 1 1 1 1 1 1 1 1 1 12 5 5 5 4 8 19 19 6 6 16 16 1 1 1 1 1 1 1</w:t>
      </w:r>
    </w:p>
    <w:p>
      <w:pPr>
        <w:pStyle w:val="Normal"/>
        <w:jc w:val="center"/>
        <w:rPr>
          <w:bCs/>
          <w:sz w:val="16"/>
          <w:szCs w:val="16"/>
        </w:rPr>
      </w:pPr>
      <w:r>
        <w:rPr/>
        <w:drawing>
          <wp:inline distT="0" distB="0" distL="0" distR="0">
            <wp:extent cx="1028700" cy="549910"/>
            <wp:effectExtent l="0" t="0" r="0" b="0"/>
            <wp:docPr id="6" name="Imag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 w:val="16"/>
          <w:szCs w:val="16"/>
        </w:rPr>
        <w:t>﻿</w:t>
      </w:r>
      <w:r>
        <w:rPr>
          <w:bCs/>
          <w:sz w:val="16"/>
          <w:szCs w:val="16"/>
          <w:lang w:val="en-US"/>
        </w:rPr>
        <w:t>2 2 2 21 8 5 0 0 0 0 0 21 21 21 21 21 21 6 4 33 13 11 2 2 2 2 2 2 2 2 2 2 2 2 2 2 2 39 6 6 36 7 32 40 40 13 1 11 11 2 2 2 2 2 2 2</w:t>
      </w:r>
    </w:p>
    <w:p>
      <w:pPr>
        <w:pStyle w:val="Normal"/>
        <w:jc w:val="center"/>
        <w:rPr>
          <w:bCs/>
          <w:i/>
          <w:i/>
          <w:iCs/>
          <w:sz w:val="20"/>
          <w:szCs w:val="20"/>
          <w:lang w:val="en-US"/>
        </w:rPr>
      </w:pPr>
      <w:r>
        <w:rPr>
          <w:bCs/>
          <w:i/>
          <w:iCs/>
          <w:sz w:val="20"/>
          <w:szCs w:val="20"/>
          <w:lang w:val="en-US"/>
        </w:rPr>
        <w:t>Discretization effect using 10, 20, 50 clusters, and the corresponding to a discreet sequence.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  <w:t>Training HMM with the forward-backward algorithm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Training a HMM with the forward – backward algorithm takes into account every possible hidden state sequences to compute the statistics that are necessary for estimating the optimal parameters of a new HMM.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We recall the re-estimations formulas obtained:</w:t>
      </w:r>
    </w:p>
    <w:p>
      <w:pPr>
        <w:pStyle w:val="Normal"/>
        <w:jc w:val="center"/>
        <w:rPr>
          <w:rFonts w:eastAsia="" w:eastAsiaTheme="minorEastAsia"/>
          <w:bCs/>
          <w:iCs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/>
              </m:sSub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/>
          </m:sSubSup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sSubSup>
                <m:e>
                  <m:r>
                    <w:rPr>
                      <w:rFonts w:ascii="Cambria Math" w:hAnsi="Cambria Math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  <m:sSubSup>
                <m:e>
                  <m:r>
                    <w:rPr>
                      <w:rFonts w:ascii="Cambria Math" w:hAnsi="Cambria Math"/>
                    </w:rPr>
                    <m:t xml:space="preserve">β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p>
                <m:e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</m:e>
              </m:nary>
            </m:den>
          </m:f>
        </m:oMath>
      </m:oMathPara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center"/>
        <w:rPr>
          <w:rFonts w:eastAsia="" w:eastAsiaTheme="minorEastAsia"/>
          <w:bCs/>
          <w:iCs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r>
                <w:rPr>
                  <w:rFonts w:ascii="Cambria Math" w:hAnsi="Cambria Math"/>
                </w:rPr>
                <m:t xml:space="preserve">b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/>
          </m:sSubSup>
          <m:d>
            <m:dPr>
              <m:begChr m:val="("/>
              <m:endChr m:val=")"/>
            </m:dPr>
            <m:e>
              <m:sSubSup>
                <m:e>
                  <m:r>
                    <w:rPr>
                      <w:rFonts w:ascii="Cambria Math" w:hAnsi="Cambria Math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m</m:t>
                  </m:r>
                </m:sub>
                <m:sup/>
              </m:sSubSup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eqAr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=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o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t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+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l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</w:rPr>
                            <m:t xml:space="preserve">=</m:t>
                          </m:r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  <m:sup/>
                          </m:sSubSup>
                        </m:e>
                      </m:eqAr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den>
          </m:f>
        </m:oMath>
      </m:oMathPara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center"/>
        <w:rPr>
          <w:bCs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ij</m:t>
              </m:r>
            </m:sub>
            <m:sup/>
          </m:sSubSup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ij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(</m:t>
                      </m:r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 xml:space="preserve">)</m:t>
                      </m:r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den>
          </m:f>
        </m:oMath>
      </m:oMathPara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  <w:t>with</w:t>
      </w:r>
    </w:p>
    <w:p>
      <w:pPr>
        <w:pStyle w:val="Normal"/>
        <w:jc w:val="center"/>
        <w:rPr>
          <w:bCs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p</m:t>
              </m:r>
            </m:e>
            <m:sub>
              <m:r>
                <w:rPr>
                  <w:rFonts w:ascii="Cambria Math" w:hAnsi="Cambria Math"/>
                </w:rPr>
                <m:t xml:space="preserve">l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P</m:t>
          </m:r>
          <m:d>
            <m:dPr>
              <m:begChr m:val="("/>
              <m:endChr m:val=")"/>
            </m:dPr>
            <m:e>
              <m:sSup>
                <m:e>
                  <m:r>
                    <w:rPr>
                      <w:rFonts w:ascii="Cambria Math" w:hAnsi="Cambria Math"/>
                    </w:rPr>
                    <m:t xml:space="preserve">O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=</m:t>
          </m:r>
          <m:nary>
            <m:naryPr>
              <m:chr m:val="∑"/>
            </m:naryPr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0</m:t>
              </m:r>
            </m:sub>
            <m:sup>
              <m:r>
                <w:rPr>
                  <w:rFonts w:ascii="Cambria Math" w:hAnsi="Cambria Math"/>
                </w:rPr>
                <m:t xml:space="preserve">K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p>
            <m:e>
              <m:sSub>
                <m:e>
                  <m:r>
                    <w:rPr>
                      <w:rFonts w:ascii="Cambria Math" w:hAnsi="Cambria Math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  <m:sSub>
                <m:e>
                  <m:r>
                    <w:rPr>
                      <w:rFonts w:ascii="Cambria Math" w:hAnsi="Cambria Math"/>
                    </w:rPr>
                    <m:t xml:space="preserve">β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e>
          </m:nary>
        </m:oMath>
      </m:oMathPara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  <w:t xml:space="preserve">Observe that we can also take account of the finite duration of the observation sequences and state sequences as well, such that we can introduce final states probabilities </w:t>
      </w:r>
      <w:r>
        <w:rPr/>
      </w:r>
      <m:oMath xmlns:m="http://schemas.openxmlformats.org/officeDocument/2006/math">
        <m:sSubSup>
          <m:e>
            <m:sSub>
              <m:e>
                <m:r>
                  <w:rPr>
                    <w:rFonts w:ascii="Cambria Math" w:hAnsi="Cambria Math"/>
                  </w:rPr>
                  <m:t xml:space="preserve">Pf</m:t>
                </m:r>
              </m:e>
              <m:sub/>
            </m:sSub>
          </m:e>
          <m:sub>
            <m:r>
              <w:rPr>
                <w:rFonts w:ascii="Cambria Math" w:hAnsi="Cambria Math"/>
              </w:rPr>
              <m:t xml:space="preserve">i</m:t>
            </m:r>
          </m:sub>
          <m:sup/>
        </m:sSubSup>
      </m:oMath>
      <w:r>
        <w:rPr>
          <w:bCs/>
          <w:lang w:val="en-US"/>
        </w:rPr>
        <w:t xml:space="preserve"> that are the probability for state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bCs/>
          <w:lang w:val="en-US"/>
        </w:rPr>
        <w:t xml:space="preserve"> to end the sequence, </w:t>
      </w:r>
      <w:r>
        <w:rPr/>
      </w:r>
      <m:oMath xmlns:m="http://schemas.openxmlformats.org/officeDocument/2006/math">
        <m:sSubSup>
          <m:e>
            <m:sSub>
              <m:e>
                <m:r>
                  <w:rPr>
                    <w:rFonts w:ascii="Cambria Math" w:hAnsi="Cambria Math"/>
                  </w:rPr>
                  <m:t xml:space="preserve">Pf</m:t>
                </m:r>
              </m:e>
              <m:sub/>
            </m:sSub>
          </m:e>
          <m:sub>
            <m:r>
              <w:rPr>
                <w:rFonts w:ascii="Cambria Math" w:hAnsi="Cambria Math"/>
              </w:rPr>
              <m:t xml:space="preserve">i</m:t>
            </m:r>
          </m:sub>
          <m:sup/>
        </m:sSubSup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)</m:t>
        </m:r>
      </m:oMath>
      <w:r>
        <w:rPr>
          <w:bCs/>
          <w:lang w:val="en-US"/>
        </w:rPr>
        <w:t xml:space="preserve"> .</w:t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  <w:t>The re-estimation formula for final probability is the following:</w:t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center"/>
        <w:rPr>
          <w:bCs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sSub>
                <m:e>
                  <m:r>
                    <w:rPr>
                      <w:rFonts w:ascii="Cambria Math" w:hAnsi="Cambria Math"/>
                    </w:rPr>
                    <m:t xml:space="preserve">Pf</m:t>
                  </m:r>
                </m:e>
                <m:sub/>
              </m:sSub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/>
          </m:sSubSup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sSubSup>
                <m:e>
                  <m:r>
                    <w:rPr>
                      <w:rFonts w:ascii="Cambria Math" w:hAnsi="Cambria Math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  <m:sSubSup>
                <m:e>
                  <m:r>
                    <w:rPr>
                      <w:rFonts w:ascii="Cambria Math" w:hAnsi="Cambria Math"/>
                    </w:rPr>
                    <m:t xml:space="preserve">β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p>
                <m:e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</m:e>
              </m:nary>
            </m:den>
          </m:f>
        </m:oMath>
      </m:oMathPara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1:</w:t>
      </w:r>
      <w:r>
        <w:rPr>
          <w:rFonts w:cs="Arial" w:ascii="Arial" w:hAnsi="Arial"/>
          <w:bCs/>
          <w:sz w:val="20"/>
          <w:szCs w:val="20"/>
          <w:lang w:val="en-US"/>
        </w:rPr>
        <w:t xml:space="preserve"> Training with multiple examples.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The re-estimation formulas below suggest that we need to sum the contribution of each training example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l</m:t>
        </m:r>
      </m:oMath>
      <w:r>
        <w:rPr>
          <w:rFonts w:cs="Arial" w:ascii="Arial" w:hAnsi="Arial"/>
          <w:bCs/>
          <w:sz w:val="20"/>
          <w:szCs w:val="20"/>
          <w:lang w:val="en-US"/>
        </w:rPr>
        <w:t>to the numerator and to the denominator of each of the tree quantities to estimate.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Observe that since we work with </w:t>
      </w:r>
      <w:r>
        <w:rPr>
          <w:rFonts w:cs="Arial" w:ascii="Arial" w:hAnsi="Arial"/>
          <w:bCs/>
          <w:i/>
          <w:iCs/>
          <w:sz w:val="20"/>
          <w:szCs w:val="20"/>
          <w:lang w:val="en-US"/>
        </w:rPr>
        <w:t>left-to-right</w:t>
      </w:r>
      <w:r>
        <w:rPr>
          <w:rFonts w:cs="Arial" w:ascii="Arial" w:hAnsi="Arial"/>
          <w:bCs/>
          <w:sz w:val="20"/>
          <w:szCs w:val="20"/>
          <w:lang w:val="en-US"/>
        </w:rPr>
        <w:t xml:space="preserve"> models the initial probability and final probability vectors remain unchanged during training, and there is no need to res-estimate them.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Write the following methods that cumulate the statistics (in log scale) of the numerators and the denominator of the re-estimation formulas.</w:t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cumulate_den</w:t>
      </w:r>
      <w:r>
        <w:rPr>
          <w:rFonts w:cs="Courier New" w:ascii="Courier New" w:hAnsi="Courier New"/>
          <w:sz w:val="18"/>
          <w:szCs w:val="18"/>
          <w:lang w:val="en-US"/>
        </w:rPr>
        <w:t xml:space="preserve">(self,T,fwd,bwd, </w:t>
      </w:r>
      <w:r>
        <w:rPr>
          <w:rFonts w:cs="Courier New" w:ascii="Courier New" w:hAnsi="Courier New"/>
          <w:b/>
          <w:bCs/>
          <w:sz w:val="18"/>
          <w:szCs w:val="18"/>
          <w:lang w:val="en-US"/>
        </w:rPr>
        <w:t>sum_den</w:t>
      </w:r>
      <w:r>
        <w:rPr>
          <w:rFonts w:cs="Courier New" w:ascii="Courier New" w:hAnsi="Courier New"/>
          <w:sz w:val="18"/>
          <w:szCs w:val="18"/>
          <w:lang w:val="en-US"/>
        </w:rPr>
        <w:t xml:space="preserve">,log_likelihood):  </w:t>
      </w:r>
    </w:p>
    <w:p>
      <w:pPr>
        <w:pStyle w:val="Normal"/>
        <w:shd w:val="clear" w:color="auto" w:fill="F2F2F2" w:themeFill="background1" w:themeFillShade="f2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cumulate_A_num</w:t>
      </w:r>
      <w:r>
        <w:rPr>
          <w:rFonts w:cs="Courier New" w:ascii="Courier New" w:hAnsi="Courier New"/>
          <w:sz w:val="18"/>
          <w:szCs w:val="18"/>
          <w:lang w:val="en-US"/>
        </w:rPr>
        <w:t>(self,train_data,fwd_lattice,bwd_lattice,</w:t>
      </w:r>
      <w:r>
        <w:rPr>
          <w:rFonts w:cs="Courier New" w:ascii="Courier New" w:hAnsi="Courier New"/>
          <w:b/>
          <w:bCs/>
          <w:sz w:val="18"/>
          <w:szCs w:val="18"/>
          <w:lang w:val="en-US"/>
        </w:rPr>
        <w:t>sum_A_num</w:t>
      </w:r>
      <w:r>
        <w:rPr>
          <w:rFonts w:cs="Courier New" w:ascii="Courier New" w:hAnsi="Courier New"/>
          <w:sz w:val="18"/>
          <w:szCs w:val="18"/>
          <w:lang w:val="en-US"/>
        </w:rPr>
        <w:t>,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log_likelihood):</w:t>
      </w:r>
    </w:p>
    <w:p>
      <w:pPr>
        <w:pStyle w:val="Normal"/>
        <w:shd w:val="clear" w:color="auto" w:fill="F2F2F2" w:themeFill="background1" w:themeFillShade="f2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cumulate_B_num</w:t>
      </w:r>
      <w:r>
        <w:rPr>
          <w:rFonts w:cs="Courier New" w:ascii="Courier New" w:hAnsi="Courier New"/>
          <w:sz w:val="18"/>
          <w:szCs w:val="18"/>
          <w:lang w:val="en-US"/>
        </w:rPr>
        <w:t xml:space="preserve">(self,train_data,fwd,bwd, </w:t>
      </w:r>
      <w:r>
        <w:rPr>
          <w:rFonts w:cs="Courier New" w:ascii="Courier New" w:hAnsi="Courier New"/>
          <w:b/>
          <w:bCs/>
          <w:sz w:val="18"/>
          <w:szCs w:val="18"/>
          <w:lang w:val="en-US"/>
        </w:rPr>
        <w:t>sum_B_num</w:t>
      </w:r>
      <w:r>
        <w:rPr>
          <w:rFonts w:cs="Courier New" w:ascii="Courier New" w:hAnsi="Courier New"/>
          <w:sz w:val="18"/>
          <w:szCs w:val="18"/>
          <w:lang w:val="en-US"/>
        </w:rPr>
        <w:t>,log_likelihood):</w:t>
      </w:r>
    </w:p>
    <w:p>
      <w:pPr>
        <w:pStyle w:val="Normal"/>
        <w:shd w:val="clear" w:color="auto" w:fill="F2F2F2" w:themeFill="background1" w:themeFillShade="f2"/>
        <w:rPr>
          <w:bCs/>
          <w:i/>
          <w:i/>
          <w:iCs/>
          <w:sz w:val="18"/>
          <w:szCs w:val="18"/>
          <w:lang w:val="en-US"/>
        </w:rPr>
      </w:pPr>
      <w:r>
        <w:rPr>
          <w:bCs/>
          <w:i/>
          <w:iCs/>
          <w:sz w:val="18"/>
          <w:szCs w:val="18"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with the following variables: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ind w:left="708"/>
        <w:rPr>
          <w:rFonts w:ascii="Courier New" w:hAnsi="Courier New" w:cs="Courier New"/>
          <w:bCs/>
          <w:sz w:val="20"/>
          <w:szCs w:val="20"/>
          <w:lang w:val="en-US"/>
        </w:rPr>
      </w:pPr>
      <w:r>
        <w:rPr/>
      </w:r>
      <m:oMath xmlns:m="http://schemas.openxmlformats.org/officeDocument/2006/math">
        <m:nary>
          <m:naryPr>
            <m:chr m:val="∑"/>
            <m:subHide m:val="1"/>
            <m:supHide m:val="1"/>
          </m:naryPr>
          <m:sub/>
          <m:sup/>
          <m:e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v</m:t>
                </m:r>
              </m:e>
            </m:d>
          </m:e>
        </m:nary>
      </m:oMath>
      <w:r>
        <w:rPr>
          <w:rFonts w:eastAsia="" w:cs="Courier New" w:ascii="Courier New" w:hAnsi="Courier New" w:eastAsiaTheme="minorEastAsia"/>
          <w:bCs/>
          <w:sz w:val="20"/>
          <w:szCs w:val="20"/>
          <w:lang w:val="en-US"/>
        </w:rPr>
        <w:t xml:space="preserve">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with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∧</m:t>
        </m:r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clusters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</m:oMath>
      <w:r>
        <w:rPr>
          <w:rFonts w:cs="Courier New" w:ascii="Courier New" w:hAnsi="Courier New"/>
          <w:bCs/>
          <w:sz w:val="20"/>
          <w:szCs w:val="20"/>
          <w:lang w:val="en-US"/>
        </w:rPr>
        <w:t xml:space="preserve"> </w:t>
      </w:r>
    </w:p>
    <w:p>
      <w:pPr>
        <w:pStyle w:val="Normal"/>
        <w:ind w:left="708"/>
        <w:rPr>
          <w:rFonts w:ascii="Courier New" w:hAnsi="Courier New" w:cs="Courier New"/>
          <w:bCs/>
          <w:sz w:val="20"/>
          <w:szCs w:val="20"/>
          <w:lang w:val="en-US"/>
        </w:rPr>
      </w:pPr>
      <w:r>
        <w:rPr/>
      </w:r>
      <m:oMath xmlns:m="http://schemas.openxmlformats.org/officeDocument/2006/math">
        <m:nary>
          <m:naryPr>
            <m:chr m:val="∑"/>
            <m:subHide m:val="1"/>
            <m:supHide m:val="1"/>
          </m:naryPr>
          <m:sub/>
          <m:sup/>
          <m:e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j</m:t>
                </m:r>
              </m:e>
            </m:d>
          </m:e>
        </m:nary>
      </m:oMath>
      <w:r>
        <w:rPr>
          <w:rFonts w:eastAsia="" w:cs="Courier New" w:ascii="Courier New" w:hAnsi="Courier New" w:eastAsiaTheme="minorEastAsia"/>
          <w:bCs/>
          <w:sz w:val="20"/>
          <w:szCs w:val="20"/>
          <w:lang w:val="en-US"/>
        </w:rPr>
        <w:t xml:space="preserve">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with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–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∧</m:t>
        </m:r>
        <m:r>
          <w:rPr>
            <w:rFonts w:ascii="Cambria Math" w:hAnsi="Cambria Math"/>
          </w:rPr>
          <m:t xml:space="preserve">j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</m:oMath>
    </w:p>
    <w:p>
      <w:pPr>
        <w:pStyle w:val="Normal"/>
        <w:ind w:left="708"/>
        <w:rPr>
          <w:rFonts w:ascii="Courier New" w:hAnsi="Courier New" w:eastAsia="" w:cs="Courier New" w:eastAsiaTheme="minorEastAsia"/>
          <w:bCs/>
          <w:sz w:val="20"/>
          <w:szCs w:val="20"/>
          <w:lang w:val="en-US"/>
        </w:rPr>
      </w:pPr>
      <w:r>
        <w:rPr/>
      </w:r>
      <m:oMath xmlns:m="http://schemas.openxmlformats.org/officeDocument/2006/math">
        <m:nary>
          <m:naryPr>
            <m:chr m:val="∑"/>
            <m:subHide m:val="1"/>
            <m:supHide m:val="1"/>
          </m:naryPr>
          <m:sub/>
          <m:sup/>
          <m:e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</m:d>
          </m:e>
        </m:nary>
      </m:oMath>
      <w:r>
        <w:rPr>
          <w:rFonts w:cs="Courier New" w:ascii="Courier New" w:hAnsi="Courier New"/>
          <w:bCs/>
          <w:sz w:val="20"/>
          <w:szCs w:val="20"/>
          <w:lang w:val="en-US"/>
        </w:rPr>
        <w:t xml:space="preserve">   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with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–</m:t>
        </m:r>
        <m:r>
          <w:rPr>
            <w:rFonts w:ascii="Cambria Math" w:hAnsi="Cambria Math"/>
          </w:rPr>
          <m:t xml:space="preserve">1</m:t>
        </m:r>
      </m:oMath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Such that the estimation step, the M step, corresponds to the following method:</w:t>
      </w:r>
    </w:p>
    <w:p>
      <w:pPr>
        <w:pStyle w:val="Normal"/>
        <w:rPr>
          <w:b/>
          <w:i/>
          <w:i/>
          <w:iCs/>
          <w:lang w:val="en-US"/>
        </w:rPr>
      </w:pPr>
      <w:r>
        <w:rPr>
          <w:b/>
          <w:i/>
          <w:iCs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>def Mstep(self,sum_B_num, sum_den, sum_A_num):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SUM_DEN_A =np.repeat(sum_den,self.n_states).reshape(self.n_states,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     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self.n_states)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SUM_DEN_B = np.repeat(sum_den,self.n_clusters).reshape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      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(self.n_states,self.n_clusters)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self.log_A = sum_A_num - SUM_DEN_A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self.log_B = sum_B_num - SUM_DEN_B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self.log_B[np.equal(self.log_B,float('-inf'))] = self.log_epsilon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rPr>
          <w:b/>
          <w:i/>
          <w:i/>
          <w:iCs/>
          <w:lang w:val="en-US"/>
        </w:rPr>
      </w:pPr>
      <w:r>
        <w:rPr>
          <w:b/>
          <w:i/>
          <w:iCs/>
          <w:lang w:val="en-US"/>
        </w:rPr>
      </w:r>
    </w:p>
    <w:p>
      <w:pPr>
        <w:pStyle w:val="Normal"/>
        <w:rPr>
          <w:b/>
          <w:i/>
          <w:i/>
          <w:iCs/>
          <w:lang w:val="en-US"/>
        </w:rPr>
      </w:pPr>
      <w:r>
        <w:rPr>
          <w:b/>
          <w:i/>
          <w:iCs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2: Digit recognition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Use the given program to train the 10 digit models. At each iteration of the EM algorithm the model is tested on the validation dataset by calling the </w:t>
      </w:r>
      <w:r>
        <w:rPr>
          <w:rFonts w:cs="Courier New" w:ascii="Courier New" w:hAnsi="Courier New"/>
          <w:bCs/>
          <w:sz w:val="20"/>
          <w:szCs w:val="20"/>
          <w:lang w:val="en-US"/>
        </w:rPr>
        <w:t>Log_likelihood(valid_data)</w:t>
      </w:r>
      <w:r>
        <w:rPr>
          <w:rFonts w:cs="Arial" w:ascii="Arial" w:hAnsi="Arial"/>
          <w:bCs/>
          <w:sz w:val="20"/>
          <w:szCs w:val="20"/>
          <w:lang w:val="en-US"/>
        </w:rPr>
        <w:t xml:space="preserve"> method. The best model is saved through the iterations. The number of EM iterations is fixed to Max_EM_iter 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Comment and analyze the training and validation loss (images saved)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Courier New" w:hAnsi="Courier New" w:cs="Courier New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Run the recognition step on the MNIST test dataset composed of 10 000 digit images by putting </w:t>
      </w:r>
      <w:r>
        <w:rPr>
          <w:rFonts w:cs="Courier New" w:ascii="Courier New" w:hAnsi="Courier New"/>
          <w:bCs/>
          <w:sz w:val="20"/>
          <w:szCs w:val="20"/>
          <w:lang w:val="en-US"/>
        </w:rPr>
        <w:t>TRAINING = False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Fill in the table below where RR stand for the Recognition Rate computed on un-seen examples during training, i.e. on the test set made of 10 000 examples.</w:t>
      </w:r>
    </w:p>
    <w:p>
      <w:pPr>
        <w:pStyle w:val="ListParagrap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Draw some conclusion.</w:t>
      </w:r>
    </w:p>
    <w:p>
      <w:pPr>
        <w:pStyle w:val="ListParagraph"/>
        <w:ind w:left="0"/>
        <w:jc w:val="both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tbl>
      <w:tblPr>
        <w:tblStyle w:val="Grilledutableau"/>
        <w:tblW w:w="666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67"/>
        <w:gridCol w:w="1667"/>
        <w:gridCol w:w="1667"/>
        <w:gridCol w:w="1667"/>
      </w:tblGrid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N_train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n_cluster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n_states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RR (%) test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84.98 %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88,94 %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90.64 %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 xml:space="preserve">87.04 </w:t>
            </w: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shd w:fill="auto" w:val="clear"/>
                <w:lang w:val="fr-FR" w:eastAsia="en-US" w:bidi="ar-SA"/>
              </w:rPr>
              <w:t>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Texteprformat"/>
              <w:widowControl/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 w:ascii="Calibri" w:hAnsi="Calibri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90.64 %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91.42 %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54 000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</w:tr>
    </w:tbl>
    <w:p>
      <w:pPr>
        <w:pStyle w:val="ListParagraph"/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Durante o treinamento de cada uma das classes, grande parte das curvas de vraissamblance para o treinamento e a validaçao apresentaram o comportamento esperado, ou seja, uma fase inicial de crescimento seguida de estagnaçao para o treinamento e decrescimento para a validaçao, como visto na figura. Dessa forma, foram escolhidos os modelos com a maior vraissamblance em validaçao.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63215" cy="2249170"/>
            <wp:effectExtent l="0" t="0" r="0" b="0"/>
            <wp:wrapTopAndBottom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215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Deve ser ressaltada a existencia de classes onde a curva de validaçao apresentou melhor resultado que o treinamento, isso é possivel caso o dataset de valid seja mais simples ou tenha uma distribuiçao menos dispersa. Isso pode ser visto na figura.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1202690</wp:posOffset>
            </wp:positionH>
            <wp:positionV relativeFrom="paragraph">
              <wp:posOffset>165735</wp:posOffset>
            </wp:positionV>
            <wp:extent cx="3146425" cy="2416175"/>
            <wp:effectExtent l="0" t="0" r="0" b="0"/>
            <wp:wrapTopAndBottom/>
            <wp:docPr id="8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42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Foram vistos também treinamentos nao finalizados nas 20 epocas, ou seja, onde a curva de vraissamblance de validaçao ainda estava em fase de crescimento, que também pode ser visto na figura. Isso indica que aumentar a quantidade de epocas poderia melhorar o resultado final de RR, mas com certo custo no aumento no tempo de treinamento.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Como esperado, o resultado de recognition rate é maior para valores maiores de states e clusters, atingindo o valor de 91,42% para o melhor modelo com 10k exemplos. É importente evidenciar que é possivel atingir resultados de RR superiores à 99% com CNNs simples ou outros modelos de classificaçao no dataset MNIST, o que indica que este modelo nao performou bem.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 xml:space="preserve">No que se refere ao tamanho do dataset de treinamento, o resultados do modelo de 54k exemplos nao foi consideravelmente melhor que do modelo com apenas 10k exemplos, pois o modelo FowardBackward nao é forte o suficiente para melhorar bastante a interpretaçao de exemplos complexos. Além disso, o tempo de treinamento foi bastante longo, o que sugere que aumentar o numero de exemplos possa nao ser interessante para o modelo FowardBackward. 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  <w:t>Training HMM with the Viterbi algorithm</w:t>
      </w:r>
    </w:p>
    <w:p>
      <w:pPr>
        <w:pStyle w:val="Normal"/>
        <w:rPr>
          <w:rFonts w:ascii="Arial" w:hAnsi="Arial" w:cs="Arial"/>
          <w:b/>
          <w:i/>
          <w:i/>
          <w:iCs/>
          <w:sz w:val="20"/>
          <w:szCs w:val="20"/>
          <w:lang w:val="en-US"/>
        </w:rPr>
      </w:pPr>
      <w:r>
        <w:rPr>
          <w:rFonts w:cs="Arial" w:ascii="Arial" w:hAnsi="Arial"/>
          <w:b/>
          <w:i/>
          <w:i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3: Training with VITERBI</w:t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Using the Viterbi algorithm, it is possible de estimate the missing hidden states using a hard assignment. 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Write the methods that cumulates the statics along the Viterbi path. </w:t>
      </w:r>
    </w:p>
    <w:p>
      <w:pPr>
        <w:pStyle w:val="ListParagraph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cumulate_den_viterbi</w:t>
      </w:r>
      <w:r>
        <w:rPr>
          <w:rFonts w:cs="Courier New" w:ascii="Courier New" w:hAnsi="Courier New"/>
          <w:sz w:val="18"/>
          <w:szCs w:val="18"/>
          <w:lang w:val="en-US"/>
        </w:rPr>
        <w:t xml:space="preserve">(self,T,fwd,bwd, sum_den,log_likelihood):  </w:t>
      </w:r>
    </w:p>
    <w:p>
      <w:pPr>
        <w:pStyle w:val="Normal"/>
        <w:shd w:val="clear" w:color="auto" w:fill="F2F2F2" w:themeFill="background1" w:themeFillShade="f2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ListParagraph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cumulate_A_num_viterbi</w:t>
      </w:r>
      <w:r>
        <w:rPr>
          <w:rFonts w:cs="Courier New" w:ascii="Courier New" w:hAnsi="Courier New"/>
          <w:sz w:val="18"/>
          <w:szCs w:val="18"/>
          <w:lang w:val="en-US"/>
        </w:rPr>
        <w:t>(self,train_data,fwd_lattice,bwd_lattice,sum_A_num,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log_likelihood):</w:t>
      </w:r>
    </w:p>
    <w:p>
      <w:pPr>
        <w:pStyle w:val="Normal"/>
        <w:shd w:val="clear" w:color="auto" w:fill="F2F2F2" w:themeFill="background1" w:themeFillShade="f2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ListParagraph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cumulate_B_num_viterbi</w:t>
      </w:r>
      <w:r>
        <w:rPr>
          <w:rFonts w:cs="Courier New" w:ascii="Courier New" w:hAnsi="Courier New"/>
          <w:sz w:val="18"/>
          <w:szCs w:val="18"/>
          <w:lang w:val="en-US"/>
        </w:rPr>
        <w:t>(self,train_data,fwd,bwd, sum_B_num,log_likelihood):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Write the methods that trains a HMM using Viterbi, filling the method TrainViterbi defined below and provided in hmm.py.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TrainViterbi</w:t>
      </w:r>
      <w:r>
        <w:rPr>
          <w:rFonts w:cs="Courier New" w:ascii="Courier New" w:hAnsi="Courier New"/>
          <w:sz w:val="18"/>
          <w:szCs w:val="18"/>
          <w:lang w:val="en-US"/>
        </w:rPr>
        <w:t>(self,classe,train_data,valid_data,Max_EM_iter,dir_name,file_name):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return LL_train_history/n_train, LL_valid_history/n_valid, best_iteration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Write the methods MStepViterbi( ), filling the method TrainViterbi defined below and provided in hmm.py.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def MstepViterbi(self,sum_B_num, sum_den, sum_A_num):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4: Recognition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3"/>
        </w:numPr>
        <w:rPr>
          <w:bCs/>
          <w:i/>
          <w:i/>
          <w:iCs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Use the given program to train the 10 digit models. At each iteration of the EM algorithm the model is tested on the validation dataset by calling the</w:t>
      </w:r>
      <w:r>
        <w:rPr>
          <w:bCs/>
          <w:i/>
          <w:iCs/>
          <w:lang w:val="en-US"/>
        </w:rPr>
        <w:t xml:space="preserve">  </w:t>
      </w:r>
      <w:r>
        <w:rPr>
          <w:rFonts w:cs="Courier New" w:ascii="Courier New" w:hAnsi="Courier New"/>
          <w:bCs/>
          <w:i/>
          <w:iCs/>
          <w:sz w:val="20"/>
          <w:szCs w:val="20"/>
          <w:lang w:val="en-US"/>
        </w:rPr>
        <w:t xml:space="preserve">Log_likelihood(valid_data). </w:t>
      </w:r>
      <w:r>
        <w:rPr>
          <w:rFonts w:cs="Arial" w:ascii="Arial" w:hAnsi="Arial"/>
          <w:bCs/>
          <w:sz w:val="20"/>
          <w:szCs w:val="20"/>
          <w:lang w:val="en-US"/>
        </w:rPr>
        <w:t>The best model is saved through the iterations. The number of EM iterations is fixed to</w:t>
      </w:r>
      <w:r>
        <w:rPr>
          <w:bCs/>
          <w:i/>
          <w:iCs/>
          <w:lang w:val="en-US"/>
        </w:rPr>
        <w:t xml:space="preserve"> </w:t>
      </w:r>
      <w:r>
        <w:rPr>
          <w:rFonts w:cs="Courier New" w:ascii="Courier New" w:hAnsi="Courier New"/>
          <w:bCs/>
          <w:i/>
          <w:iCs/>
          <w:sz w:val="20"/>
          <w:szCs w:val="20"/>
          <w:lang w:val="en-US"/>
        </w:rPr>
        <w:t>Max_EM_iter</w:t>
      </w:r>
      <w:r>
        <w:rPr>
          <w:bCs/>
          <w:i/>
          <w:iCs/>
          <w:lang w:val="en-US"/>
        </w:rPr>
        <w:t xml:space="preserve"> </w:t>
      </w:r>
    </w:p>
    <w:p>
      <w:pPr>
        <w:pStyle w:val="Normal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Comment and analyze the training and validation loss through the epochs, compare the curves with those of the froward Backward training.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Courier New" w:hAnsi="Courier New" w:cs="Courier New"/>
          <w:bCs/>
          <w:i/>
          <w:i/>
          <w:i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Run the recognition step on the MNIST test dataset composed of 10 000 digit images by putting</w:t>
      </w:r>
      <w:r>
        <w:rPr>
          <w:bCs/>
          <w:i/>
          <w:iCs/>
          <w:lang w:val="en-US"/>
        </w:rPr>
        <w:t xml:space="preserve"> </w:t>
      </w:r>
      <w:r>
        <w:rPr>
          <w:rFonts w:cs="Courier New" w:ascii="Courier New" w:hAnsi="Courier New"/>
          <w:bCs/>
          <w:i/>
          <w:iCs/>
          <w:sz w:val="20"/>
          <w:szCs w:val="20"/>
          <w:lang w:val="en-US"/>
        </w:rPr>
        <w:t>TRAINING = False</w:t>
      </w:r>
    </w:p>
    <w:p>
      <w:pPr>
        <w:pStyle w:val="Normal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Fill in the table below and draw some conclusion by comparing these results with those obtained using Forward Backward training.</w:t>
      </w:r>
    </w:p>
    <w:p>
      <w:pPr>
        <w:pStyle w:val="ListParagraph"/>
        <w:ind w:left="0"/>
        <w:jc w:val="both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tbl>
      <w:tblPr>
        <w:tblStyle w:val="Grilledutableau"/>
        <w:tblW w:w="666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67"/>
        <w:gridCol w:w="1667"/>
        <w:gridCol w:w="1667"/>
        <w:gridCol w:w="1667"/>
      </w:tblGrid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N_train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n_cluster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n_states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RR (%) test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81.57 %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85.2 %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87.78 %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84.78 %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88.04 %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89.4 %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54 000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81.24 %</w:t>
            </w:r>
          </w:p>
        </w:tc>
      </w:tr>
    </w:tbl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  <w:t xml:space="preserve">É evidente que o treinamento utilizando o método Viterbi foi mais rapido que para o FowardBacward, porém este apresentou um resultado de recognition rate inferior. Isso pode ter sido causado pelo constante atingimento de minimos locais </w:t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  <w:t>Funciona, mas cai no caso de minimo local. Nos da apenas uma sequencia de etat cache, que preve de forma binaria, entao preve mal no inicio, começa mal. FB faz a média e guarda todas as informaçoes entao nao parte na direçao errada.</w:t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  <w:font w:name="Courier New">
    <w:charset w:val="01"/>
    <w:family w:val="roman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9" name="Cadr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sdt>
                          <w:sdtPr>
                            <w:docPartObj>
                              <w:docPartGallery w:val="Page Numbers (Bottom of Page)"/>
                              <w:docPartUnique w:val="true"/>
                            </w:docPartObj>
                            <w:id w:val="-1249268368"/>
                          </w:sdtPr>
                          <w:sdtContent>
                            <w:p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dre1" path="m0,0l-2147483645,0l-2147483645,-2147483646l0,-2147483646xe" stroked="f" o:allowincell="f" style="position:absolute;margin-left:0pt;margin-top:0.05pt;width:1.1pt;height:1.1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-1249268368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0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8105" cy="184785"/>
              <wp:effectExtent l="0" t="0" r="0" b="0"/>
              <wp:wrapNone/>
              <wp:docPr id="10" name="Cadr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12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sdt>
                          <w:sdtPr>
                            <w:docPartObj>
                              <w:docPartGallery w:val="Page Numbers (Bottom of Page)"/>
                              <w:docPartUnique w:val="true"/>
                            </w:docPartObj>
                            <w:id w:val="-7147685"/>
                          </w:sdtPr>
                          <w:sdtContent>
                            <w:p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6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dre2" path="m0,0l-2147483645,0l-2147483645,-2147483646l0,-2147483646xe" stroked="f" o:allowincell="f" style="position:absolute;margin-left:223.7pt;margin-top:0.05pt;width:6.1pt;height:14.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-7147685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6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8105" cy="184785"/>
              <wp:effectExtent l="0" t="0" r="0" b="0"/>
              <wp:wrapNone/>
              <wp:docPr id="11" name="Cadr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12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sdt>
                          <w:sdtPr>
                            <w:docPartObj>
                              <w:docPartGallery w:val="Page Numbers (Bottom of Page)"/>
                              <w:docPartUnique w:val="true"/>
                            </w:docPartObj>
                            <w:id w:val="-7147685"/>
                          </w:sdtPr>
                          <w:sdtContent>
                            <w:p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6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dre2" path="m0,0l-2147483645,0l-2147483645,-2147483646l0,-2147483646xe" stroked="f" o:allowincell="f" style="position:absolute;margin-left:223.7pt;margin-top:0.05pt;width:6.1pt;height:14.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-7147685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6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82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61397b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c47856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qFormat/>
    <w:rsid w:val="00c47856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b3918"/>
    <w:rPr>
      <w:color w:themeColor="followedHyperlink" w:val="954F72"/>
      <w:u w:val="single"/>
    </w:rPr>
  </w:style>
  <w:style w:type="character" w:styleId="En-tteCar" w:customStyle="1">
    <w:name w:val="En-tête Car"/>
    <w:basedOn w:val="DefaultParagraphFont"/>
    <w:uiPriority w:val="99"/>
    <w:qFormat/>
    <w:rsid w:val="00e434f6"/>
    <w:rPr/>
  </w:style>
  <w:style w:type="character" w:styleId="PieddepageCar" w:customStyle="1">
    <w:name w:val="Pied de page Car"/>
    <w:basedOn w:val="DefaultParagraphFont"/>
    <w:uiPriority w:val="99"/>
    <w:qFormat/>
    <w:rsid w:val="00e434f6"/>
    <w:rPr/>
  </w:style>
  <w:style w:type="character" w:styleId="PageNumber">
    <w:name w:val="Page Number"/>
    <w:basedOn w:val="DefaultParagraphFont"/>
    <w:uiPriority w:val="99"/>
    <w:semiHidden/>
    <w:unhideWhenUsed/>
    <w:rsid w:val="00e434f6"/>
    <w:rPr/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1396a"/>
    <w:pPr>
      <w:spacing w:before="0" w:after="0"/>
      <w:ind w:left="720"/>
      <w:contextualSpacing/>
    </w:pPr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e434f6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unhideWhenUsed/>
    <w:rsid w:val="00e434f6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Contenudecadre">
    <w:name w:val="Contenu de cadre"/>
    <w:basedOn w:val="Normal"/>
    <w:qFormat/>
    <w:pPr/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numbering" w:styleId="Listeactuelle1" w:customStyle="1">
    <w:name w:val="Liste actuelle1"/>
    <w:uiPriority w:val="99"/>
    <w:qFormat/>
    <w:rsid w:val="00f93908"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050f6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Bureau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Application>LibreOffice/24.2.7.2$Linux_X86_64 LibreOffice_project/420$Build-2</Application>
  <AppVersion>15.0000</AppVersion>
  <Pages>6</Pages>
  <Words>1330</Words>
  <Characters>6717</Characters>
  <CharactersWithSpaces>8080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2024-09-24T12:18:00Z</dcterms:created>
  <dc:creator>Utilisateur Microsoft Office</dc:creator>
  <dc:description/>
  <dc:language>fr-FR</dc:language>
  <cp:lastModifiedBy/>
  <cp:lastPrinted>2019-09-16T12:14:00Z</cp:lastPrinted>
  <dcterms:modified xsi:type="dcterms:W3CDTF">2025-10-08T08:32:01Z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