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7C4E9" w14:textId="77777777" w:rsidR="00593C48" w:rsidRPr="00593C48" w:rsidRDefault="00593C48" w:rsidP="00593C48">
      <w:pPr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340"/>
        <w:jc w:val="both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593C48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TABLE 2 </w:t>
      </w:r>
      <w:r w:rsidRPr="00593C48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Estimates of genetic diversity and total inbreeding for each dataset that used microsatellite as marker. Species: </w:t>
      </w:r>
      <w:r w:rsidRPr="00593C48">
        <w:rPr>
          <w:rFonts w:ascii="Times New Roman" w:eastAsia="Times New Roman" w:hAnsi="Times New Roman" w:cs="Times New Roman"/>
          <w:i/>
          <w:kern w:val="0"/>
          <w:lang w:val="en"/>
          <w14:ligatures w14:val="none"/>
        </w:rPr>
        <w:t>A</w:t>
      </w:r>
      <w:r w:rsidRPr="00593C48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. </w:t>
      </w:r>
      <w:proofErr w:type="spellStart"/>
      <w:r w:rsidRPr="00593C48">
        <w:rPr>
          <w:rFonts w:ascii="Times New Roman" w:eastAsia="Times New Roman" w:hAnsi="Times New Roman" w:cs="Times New Roman"/>
          <w:i/>
          <w:kern w:val="0"/>
          <w:lang w:val="en"/>
          <w14:ligatures w14:val="none"/>
        </w:rPr>
        <w:t>germinans</w:t>
      </w:r>
      <w:proofErr w:type="spellEnd"/>
      <w:r w:rsidRPr="00593C48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(</w:t>
      </w:r>
      <w:r w:rsidRPr="00593C48">
        <w:rPr>
          <w:rFonts w:ascii="Times New Roman" w:eastAsia="Times New Roman" w:hAnsi="Times New Roman" w:cs="Times New Roman"/>
          <w:iCs/>
          <w:kern w:val="0"/>
          <w:lang w:val="en"/>
          <w14:ligatures w14:val="none"/>
        </w:rPr>
        <w:t>Ag</w:t>
      </w:r>
      <w:r w:rsidRPr="00593C48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), </w:t>
      </w:r>
      <w:r w:rsidRPr="00593C48">
        <w:rPr>
          <w:rFonts w:ascii="Times New Roman" w:eastAsia="Times New Roman" w:hAnsi="Times New Roman" w:cs="Times New Roman"/>
          <w:i/>
          <w:kern w:val="0"/>
          <w:lang w:val="en"/>
          <w14:ligatures w14:val="none"/>
        </w:rPr>
        <w:t>A</w:t>
      </w:r>
      <w:r w:rsidRPr="00593C48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. </w:t>
      </w:r>
      <w:proofErr w:type="spellStart"/>
      <w:r w:rsidRPr="00593C48">
        <w:rPr>
          <w:rFonts w:ascii="Times New Roman" w:eastAsia="Times New Roman" w:hAnsi="Times New Roman" w:cs="Times New Roman"/>
          <w:i/>
          <w:kern w:val="0"/>
          <w:lang w:val="en"/>
          <w14:ligatures w14:val="none"/>
        </w:rPr>
        <w:t>schaueriana</w:t>
      </w:r>
      <w:proofErr w:type="spellEnd"/>
      <w:r w:rsidRPr="00593C48">
        <w:rPr>
          <w:rFonts w:ascii="Times New Roman" w:eastAsia="Times New Roman" w:hAnsi="Times New Roman" w:cs="Times New Roman"/>
          <w:iCs/>
          <w:kern w:val="0"/>
          <w:lang w:val="en"/>
          <w14:ligatures w14:val="none"/>
        </w:rPr>
        <w:t xml:space="preserve"> (As</w:t>
      </w:r>
      <w:r w:rsidRPr="00593C48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), </w:t>
      </w:r>
      <w:r w:rsidRPr="00593C48">
        <w:rPr>
          <w:rFonts w:ascii="Times New Roman" w:eastAsia="Times New Roman" w:hAnsi="Times New Roman" w:cs="Times New Roman"/>
          <w:i/>
          <w:kern w:val="0"/>
          <w:lang w:val="en"/>
          <w14:ligatures w14:val="none"/>
        </w:rPr>
        <w:t>L</w:t>
      </w:r>
      <w:r w:rsidRPr="00593C48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. </w:t>
      </w:r>
      <w:r w:rsidRPr="00593C48">
        <w:rPr>
          <w:rFonts w:ascii="Times New Roman" w:eastAsia="Times New Roman" w:hAnsi="Times New Roman" w:cs="Times New Roman"/>
          <w:i/>
          <w:kern w:val="0"/>
          <w:lang w:val="en"/>
          <w14:ligatures w14:val="none"/>
        </w:rPr>
        <w:t xml:space="preserve">racemosa </w:t>
      </w:r>
      <w:r w:rsidRPr="00593C48">
        <w:rPr>
          <w:rFonts w:ascii="Times New Roman" w:eastAsia="Times New Roman" w:hAnsi="Times New Roman" w:cs="Times New Roman"/>
          <w:iCs/>
          <w:kern w:val="0"/>
          <w:lang w:val="en"/>
          <w14:ligatures w14:val="none"/>
        </w:rPr>
        <w:t>(Lr</w:t>
      </w:r>
      <w:r w:rsidRPr="00593C48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), and </w:t>
      </w:r>
      <w:r w:rsidRPr="00593C48">
        <w:rPr>
          <w:rFonts w:ascii="Times New Roman" w:eastAsia="Times New Roman" w:hAnsi="Times New Roman" w:cs="Times New Roman"/>
          <w:i/>
          <w:kern w:val="0"/>
          <w:lang w:val="en"/>
          <w14:ligatures w14:val="none"/>
        </w:rPr>
        <w:t>R</w:t>
      </w:r>
      <w:r w:rsidRPr="00593C48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. </w:t>
      </w:r>
      <w:r w:rsidRPr="00593C48">
        <w:rPr>
          <w:rFonts w:ascii="Times New Roman" w:eastAsia="Times New Roman" w:hAnsi="Times New Roman" w:cs="Times New Roman"/>
          <w:i/>
          <w:kern w:val="0"/>
          <w:lang w:val="en"/>
          <w14:ligatures w14:val="none"/>
        </w:rPr>
        <w:t xml:space="preserve">mangle </w:t>
      </w:r>
      <w:r w:rsidRPr="00593C48">
        <w:rPr>
          <w:rFonts w:ascii="Times New Roman" w:eastAsia="Times New Roman" w:hAnsi="Times New Roman" w:cs="Times New Roman"/>
          <w:iCs/>
          <w:kern w:val="0"/>
          <w:lang w:val="en"/>
          <w14:ligatures w14:val="none"/>
        </w:rPr>
        <w:t>(Rm</w:t>
      </w:r>
      <w:r w:rsidRPr="00593C48">
        <w:rPr>
          <w:rFonts w:ascii="Times New Roman" w:eastAsia="Times New Roman" w:hAnsi="Times New Roman" w:cs="Times New Roman"/>
          <w:kern w:val="0"/>
          <w:lang w:val="en"/>
          <w14:ligatures w14:val="none"/>
        </w:rPr>
        <w:t>); Allelic richness (</w:t>
      </w:r>
      <w:proofErr w:type="spellStart"/>
      <w:r w:rsidRPr="00593C48">
        <w:rPr>
          <w:rFonts w:ascii="Times New Roman" w:eastAsia="Times New Roman" w:hAnsi="Times New Roman" w:cs="Times New Roman"/>
          <w:kern w:val="0"/>
          <w:lang w:val="en"/>
          <w14:ligatures w14:val="none"/>
        </w:rPr>
        <w:t>Ar</w:t>
      </w:r>
      <w:proofErr w:type="spellEnd"/>
      <w:r w:rsidRPr="00593C48">
        <w:rPr>
          <w:rFonts w:ascii="Times New Roman" w:eastAsia="Times New Roman" w:hAnsi="Times New Roman" w:cs="Times New Roman"/>
          <w:kern w:val="0"/>
          <w:lang w:val="en"/>
          <w14:ligatures w14:val="none"/>
        </w:rPr>
        <w:t>); Expected heterozygosity (H</w:t>
      </w:r>
      <w:r w:rsidRPr="00593C48">
        <w:rPr>
          <w:rFonts w:ascii="Times New Roman" w:eastAsia="Times New Roman" w:hAnsi="Times New Roman" w:cs="Times New Roman"/>
          <w:kern w:val="0"/>
          <w:vertAlign w:val="subscript"/>
          <w:lang w:val="en"/>
          <w14:ligatures w14:val="none"/>
        </w:rPr>
        <w:t>E</w:t>
      </w:r>
      <w:r w:rsidRPr="00593C48">
        <w:rPr>
          <w:rFonts w:ascii="Times New Roman" w:eastAsia="Times New Roman" w:hAnsi="Times New Roman" w:cs="Times New Roman"/>
          <w:kern w:val="0"/>
          <w:lang w:val="en"/>
          <w14:ligatures w14:val="none"/>
        </w:rPr>
        <w:t>); Observed heterozygosity (H</w:t>
      </w:r>
      <w:r w:rsidRPr="00593C48">
        <w:rPr>
          <w:rFonts w:ascii="Times New Roman" w:eastAsia="Times New Roman" w:hAnsi="Times New Roman" w:cs="Times New Roman"/>
          <w:kern w:val="0"/>
          <w:vertAlign w:val="subscript"/>
          <w:lang w:val="en"/>
          <w14:ligatures w14:val="none"/>
        </w:rPr>
        <w:t>O</w:t>
      </w:r>
      <w:r w:rsidRPr="00593C48">
        <w:rPr>
          <w:rFonts w:ascii="Times New Roman" w:eastAsia="Times New Roman" w:hAnsi="Times New Roman" w:cs="Times New Roman"/>
          <w:kern w:val="0"/>
          <w:lang w:val="en"/>
          <w14:ligatures w14:val="none"/>
        </w:rPr>
        <w:t>); Inbreeding coefficient (F</w:t>
      </w:r>
      <w:r w:rsidRPr="00593C48">
        <w:rPr>
          <w:rFonts w:ascii="Times New Roman" w:eastAsia="Times New Roman" w:hAnsi="Times New Roman" w:cs="Times New Roman"/>
          <w:kern w:val="0"/>
          <w:vertAlign w:val="subscript"/>
          <w:lang w:val="en"/>
          <w14:ligatures w14:val="none"/>
        </w:rPr>
        <w:t>IS</w:t>
      </w:r>
      <w:r w:rsidRPr="00593C48">
        <w:rPr>
          <w:rFonts w:ascii="Times New Roman" w:eastAsia="Times New Roman" w:hAnsi="Times New Roman" w:cs="Times New Roman"/>
          <w:kern w:val="0"/>
          <w:lang w:val="en"/>
          <w14:ligatures w14:val="none"/>
        </w:rPr>
        <w:t>); and the reference for each dataset. Results are shown as mean calculated across loci of all populations of each dataset ± standard deviation.</w:t>
      </w:r>
    </w:p>
    <w:tbl>
      <w:tblPr>
        <w:tblW w:w="9776" w:type="dxa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28"/>
        <w:gridCol w:w="1527"/>
        <w:gridCol w:w="1527"/>
        <w:gridCol w:w="1527"/>
        <w:gridCol w:w="1527"/>
        <w:gridCol w:w="2140"/>
      </w:tblGrid>
      <w:tr w:rsidR="00593C48" w:rsidRPr="00593C48" w14:paraId="67908084" w14:textId="77777777" w:rsidTr="00593C48">
        <w:trPr>
          <w:trHeight w:val="251"/>
        </w:trPr>
        <w:tc>
          <w:tcPr>
            <w:tcW w:w="1528" w:type="dxa"/>
            <w:tcBorders>
              <w:top w:val="single" w:sz="4" w:space="0" w:color="000000"/>
              <w:bottom w:val="single" w:sz="4" w:space="0" w:color="000000"/>
            </w:tcBorders>
          </w:tcPr>
          <w:p w14:paraId="3B49D3B2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Species</w:t>
            </w:r>
          </w:p>
        </w:tc>
        <w:tc>
          <w:tcPr>
            <w:tcW w:w="1527" w:type="dxa"/>
            <w:tcBorders>
              <w:top w:val="single" w:sz="4" w:space="0" w:color="000000"/>
              <w:bottom w:val="single" w:sz="4" w:space="0" w:color="000000"/>
            </w:tcBorders>
          </w:tcPr>
          <w:p w14:paraId="1A4B1E38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proofErr w:type="spellStart"/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Ar</w:t>
            </w:r>
            <w:proofErr w:type="spellEnd"/>
          </w:p>
        </w:tc>
        <w:tc>
          <w:tcPr>
            <w:tcW w:w="1527" w:type="dxa"/>
            <w:tcBorders>
              <w:top w:val="single" w:sz="4" w:space="0" w:color="000000"/>
              <w:bottom w:val="single" w:sz="4" w:space="0" w:color="000000"/>
            </w:tcBorders>
          </w:tcPr>
          <w:p w14:paraId="4ED319EB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H</w:t>
            </w:r>
            <w:r w:rsidRPr="00593C48">
              <w:rPr>
                <w:rFonts w:ascii="Times New Roman" w:eastAsia="Times New Roman" w:hAnsi="Times New Roman" w:cs="Times New Roman"/>
                <w:kern w:val="0"/>
                <w:vertAlign w:val="subscript"/>
                <w:lang w:val="en"/>
                <w14:ligatures w14:val="none"/>
              </w:rPr>
              <w:t>E</w:t>
            </w:r>
          </w:p>
        </w:tc>
        <w:tc>
          <w:tcPr>
            <w:tcW w:w="1527" w:type="dxa"/>
            <w:tcBorders>
              <w:top w:val="single" w:sz="4" w:space="0" w:color="000000"/>
              <w:bottom w:val="single" w:sz="4" w:space="0" w:color="000000"/>
            </w:tcBorders>
          </w:tcPr>
          <w:p w14:paraId="13962277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H</w:t>
            </w:r>
            <w:r w:rsidRPr="00593C48">
              <w:rPr>
                <w:rFonts w:ascii="Times New Roman" w:eastAsia="Times New Roman" w:hAnsi="Times New Roman" w:cs="Times New Roman"/>
                <w:kern w:val="0"/>
                <w:vertAlign w:val="subscript"/>
                <w:lang w:val="en"/>
                <w14:ligatures w14:val="none"/>
              </w:rPr>
              <w:t>O</w:t>
            </w:r>
          </w:p>
        </w:tc>
        <w:tc>
          <w:tcPr>
            <w:tcW w:w="1527" w:type="dxa"/>
            <w:tcBorders>
              <w:top w:val="single" w:sz="4" w:space="0" w:color="000000"/>
              <w:bottom w:val="single" w:sz="4" w:space="0" w:color="000000"/>
            </w:tcBorders>
          </w:tcPr>
          <w:p w14:paraId="01B4FDC2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F</w:t>
            </w:r>
            <w:r w:rsidRPr="00593C48">
              <w:rPr>
                <w:rFonts w:ascii="Times New Roman" w:eastAsia="Times New Roman" w:hAnsi="Times New Roman" w:cs="Times New Roman"/>
                <w:kern w:val="0"/>
                <w:vertAlign w:val="subscript"/>
                <w:lang w:val="en"/>
                <w14:ligatures w14:val="none"/>
              </w:rPr>
              <w:t>IS</w:t>
            </w:r>
          </w:p>
        </w:tc>
        <w:tc>
          <w:tcPr>
            <w:tcW w:w="2140" w:type="dxa"/>
            <w:tcBorders>
              <w:top w:val="single" w:sz="4" w:space="0" w:color="000000"/>
              <w:bottom w:val="single" w:sz="4" w:space="0" w:color="000000"/>
            </w:tcBorders>
          </w:tcPr>
          <w:p w14:paraId="1777BCBE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References</w:t>
            </w:r>
          </w:p>
        </w:tc>
      </w:tr>
      <w:tr w:rsidR="00593C48" w:rsidRPr="00593C48" w14:paraId="2769462C" w14:textId="77777777" w:rsidTr="00593C48">
        <w:trPr>
          <w:trHeight w:val="635"/>
        </w:trPr>
        <w:tc>
          <w:tcPr>
            <w:tcW w:w="1528" w:type="dxa"/>
          </w:tcPr>
          <w:p w14:paraId="2D9F4157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Ag</w:t>
            </w:r>
          </w:p>
        </w:tc>
        <w:tc>
          <w:tcPr>
            <w:tcW w:w="1527" w:type="dxa"/>
          </w:tcPr>
          <w:p w14:paraId="519A63F9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2.543 ±0.302</w:t>
            </w:r>
          </w:p>
        </w:tc>
        <w:tc>
          <w:tcPr>
            <w:tcW w:w="1527" w:type="dxa"/>
          </w:tcPr>
          <w:p w14:paraId="2AFA183B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0.456 ±0.071</w:t>
            </w:r>
          </w:p>
        </w:tc>
        <w:tc>
          <w:tcPr>
            <w:tcW w:w="1527" w:type="dxa"/>
          </w:tcPr>
          <w:p w14:paraId="578061EE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0.672 ±0.154</w:t>
            </w:r>
          </w:p>
        </w:tc>
        <w:tc>
          <w:tcPr>
            <w:tcW w:w="1527" w:type="dxa"/>
          </w:tcPr>
          <w:p w14:paraId="7339C0C6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-0.422 ±0.154</w:t>
            </w:r>
          </w:p>
        </w:tc>
        <w:tc>
          <w:tcPr>
            <w:tcW w:w="2140" w:type="dxa"/>
          </w:tcPr>
          <w:p w14:paraId="09A5598E" w14:textId="7EC5459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Hodel et al., 2016</w:t>
            </w:r>
          </w:p>
        </w:tc>
      </w:tr>
      <w:tr w:rsidR="00593C48" w:rsidRPr="00593C48" w14:paraId="6779EEC2" w14:textId="77777777" w:rsidTr="00593C48">
        <w:trPr>
          <w:trHeight w:val="635"/>
        </w:trPr>
        <w:tc>
          <w:tcPr>
            <w:tcW w:w="1528" w:type="dxa"/>
          </w:tcPr>
          <w:p w14:paraId="0CB5D88F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Ag</w:t>
            </w:r>
          </w:p>
        </w:tc>
        <w:tc>
          <w:tcPr>
            <w:tcW w:w="1527" w:type="dxa"/>
          </w:tcPr>
          <w:p w14:paraId="37419FDF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 xml:space="preserve">2.260 ±0.390 </w:t>
            </w:r>
          </w:p>
        </w:tc>
        <w:tc>
          <w:tcPr>
            <w:tcW w:w="1527" w:type="dxa"/>
          </w:tcPr>
          <w:p w14:paraId="6B9EF125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0.325 ±0,111</w:t>
            </w:r>
          </w:p>
        </w:tc>
        <w:tc>
          <w:tcPr>
            <w:tcW w:w="1527" w:type="dxa"/>
          </w:tcPr>
          <w:p w14:paraId="4B960F0D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0.276 ±0.127</w:t>
            </w:r>
          </w:p>
        </w:tc>
        <w:tc>
          <w:tcPr>
            <w:tcW w:w="1527" w:type="dxa"/>
          </w:tcPr>
          <w:p w14:paraId="56CC543E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0.181 ±0.187</w:t>
            </w:r>
          </w:p>
        </w:tc>
        <w:tc>
          <w:tcPr>
            <w:tcW w:w="2140" w:type="dxa"/>
          </w:tcPr>
          <w:p w14:paraId="77C8A54A" w14:textId="6A2D8A70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Kennedy et al., 2020</w:t>
            </w:r>
          </w:p>
        </w:tc>
      </w:tr>
      <w:tr w:rsidR="00593C48" w:rsidRPr="00593C48" w14:paraId="4D60E523" w14:textId="77777777" w:rsidTr="00593C48">
        <w:trPr>
          <w:trHeight w:val="635"/>
        </w:trPr>
        <w:tc>
          <w:tcPr>
            <w:tcW w:w="1528" w:type="dxa"/>
          </w:tcPr>
          <w:p w14:paraId="4BC97173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Ag</w:t>
            </w:r>
          </w:p>
        </w:tc>
        <w:tc>
          <w:tcPr>
            <w:tcW w:w="1527" w:type="dxa"/>
          </w:tcPr>
          <w:p w14:paraId="0A1234FA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2.624 ±0.751</w:t>
            </w:r>
          </w:p>
        </w:tc>
        <w:tc>
          <w:tcPr>
            <w:tcW w:w="1527" w:type="dxa"/>
          </w:tcPr>
          <w:p w14:paraId="77871962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0.438 ±0,171</w:t>
            </w:r>
          </w:p>
        </w:tc>
        <w:tc>
          <w:tcPr>
            <w:tcW w:w="1527" w:type="dxa"/>
          </w:tcPr>
          <w:p w14:paraId="14E5B825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0.432 ±0,306</w:t>
            </w:r>
          </w:p>
        </w:tc>
        <w:tc>
          <w:tcPr>
            <w:tcW w:w="1527" w:type="dxa"/>
          </w:tcPr>
          <w:p w14:paraId="4BD61A83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0.218 ±0,244</w:t>
            </w:r>
          </w:p>
        </w:tc>
        <w:tc>
          <w:tcPr>
            <w:tcW w:w="2140" w:type="dxa"/>
          </w:tcPr>
          <w:p w14:paraId="6FC400D5" w14:textId="4E57B7EC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Mori et al., 2015</w:t>
            </w:r>
          </w:p>
        </w:tc>
      </w:tr>
      <w:tr w:rsidR="00593C48" w:rsidRPr="00593C48" w14:paraId="06E72466" w14:textId="77777777" w:rsidTr="00593C48">
        <w:trPr>
          <w:trHeight w:val="635"/>
        </w:trPr>
        <w:tc>
          <w:tcPr>
            <w:tcW w:w="1528" w:type="dxa"/>
          </w:tcPr>
          <w:p w14:paraId="19435000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Ag</w:t>
            </w:r>
          </w:p>
        </w:tc>
        <w:tc>
          <w:tcPr>
            <w:tcW w:w="1527" w:type="dxa"/>
          </w:tcPr>
          <w:p w14:paraId="4660D323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2.551 ±0.658</w:t>
            </w:r>
          </w:p>
        </w:tc>
        <w:tc>
          <w:tcPr>
            <w:tcW w:w="1527" w:type="dxa"/>
          </w:tcPr>
          <w:p w14:paraId="0B90B5F7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0.239 ±0,108</w:t>
            </w:r>
          </w:p>
        </w:tc>
        <w:tc>
          <w:tcPr>
            <w:tcW w:w="1527" w:type="dxa"/>
          </w:tcPr>
          <w:p w14:paraId="49A18CD0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0.224 ±0,302</w:t>
            </w:r>
          </w:p>
        </w:tc>
        <w:tc>
          <w:tcPr>
            <w:tcW w:w="1527" w:type="dxa"/>
          </w:tcPr>
          <w:p w14:paraId="55A3D75C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0.132 ±0,158</w:t>
            </w:r>
          </w:p>
        </w:tc>
        <w:tc>
          <w:tcPr>
            <w:tcW w:w="2140" w:type="dxa"/>
          </w:tcPr>
          <w:p w14:paraId="0989CF6C" w14:textId="6FFE97C4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O-Zavala et al., 2019</w:t>
            </w:r>
          </w:p>
        </w:tc>
      </w:tr>
      <w:tr w:rsidR="00593C48" w:rsidRPr="00593C48" w14:paraId="3A3C3B81" w14:textId="77777777" w:rsidTr="00593C48">
        <w:trPr>
          <w:trHeight w:val="635"/>
        </w:trPr>
        <w:tc>
          <w:tcPr>
            <w:tcW w:w="1528" w:type="dxa"/>
          </w:tcPr>
          <w:p w14:paraId="6C6C1F70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As</w:t>
            </w:r>
          </w:p>
        </w:tc>
        <w:tc>
          <w:tcPr>
            <w:tcW w:w="1527" w:type="dxa"/>
          </w:tcPr>
          <w:p w14:paraId="0AFF0959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2.416 ±0.563</w:t>
            </w:r>
          </w:p>
        </w:tc>
        <w:tc>
          <w:tcPr>
            <w:tcW w:w="1527" w:type="dxa"/>
          </w:tcPr>
          <w:p w14:paraId="75163FF8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0.236 ±0,086</w:t>
            </w:r>
          </w:p>
        </w:tc>
        <w:tc>
          <w:tcPr>
            <w:tcW w:w="1527" w:type="dxa"/>
          </w:tcPr>
          <w:p w14:paraId="71A1067A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0.171 ±0,063</w:t>
            </w:r>
          </w:p>
        </w:tc>
        <w:tc>
          <w:tcPr>
            <w:tcW w:w="1527" w:type="dxa"/>
          </w:tcPr>
          <w:p w14:paraId="49825A0D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0.248 ±0,104</w:t>
            </w:r>
          </w:p>
        </w:tc>
        <w:tc>
          <w:tcPr>
            <w:tcW w:w="2140" w:type="dxa"/>
          </w:tcPr>
          <w:p w14:paraId="28C57592" w14:textId="4C3D701A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Mori et al., 2015</w:t>
            </w:r>
          </w:p>
        </w:tc>
      </w:tr>
      <w:tr w:rsidR="00593C48" w:rsidRPr="00593C48" w14:paraId="3CD97587" w14:textId="77777777" w:rsidTr="00593C48">
        <w:trPr>
          <w:trHeight w:val="635"/>
        </w:trPr>
        <w:tc>
          <w:tcPr>
            <w:tcW w:w="1528" w:type="dxa"/>
          </w:tcPr>
          <w:p w14:paraId="33C3990F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Lr</w:t>
            </w:r>
          </w:p>
        </w:tc>
        <w:tc>
          <w:tcPr>
            <w:tcW w:w="1527" w:type="dxa"/>
          </w:tcPr>
          <w:p w14:paraId="71D39C14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1.551 ±0.398</w:t>
            </w:r>
          </w:p>
        </w:tc>
        <w:tc>
          <w:tcPr>
            <w:tcW w:w="1527" w:type="dxa"/>
          </w:tcPr>
          <w:p w14:paraId="5E179DFB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0.204 ±0,160</w:t>
            </w:r>
          </w:p>
        </w:tc>
        <w:tc>
          <w:tcPr>
            <w:tcW w:w="1527" w:type="dxa"/>
          </w:tcPr>
          <w:p w14:paraId="4B14839E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0.106 ±0.059</w:t>
            </w:r>
          </w:p>
        </w:tc>
        <w:tc>
          <w:tcPr>
            <w:tcW w:w="1527" w:type="dxa"/>
          </w:tcPr>
          <w:p w14:paraId="6D0A31A4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0.475 ±0.165</w:t>
            </w:r>
          </w:p>
        </w:tc>
        <w:tc>
          <w:tcPr>
            <w:tcW w:w="2140" w:type="dxa"/>
          </w:tcPr>
          <w:p w14:paraId="3B1F5A56" w14:textId="3756D3F5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S-Lima et al.,2021</w:t>
            </w:r>
          </w:p>
        </w:tc>
      </w:tr>
      <w:tr w:rsidR="00593C48" w:rsidRPr="00593C48" w14:paraId="19BF042A" w14:textId="77777777" w:rsidTr="00593C48">
        <w:trPr>
          <w:trHeight w:val="635"/>
        </w:trPr>
        <w:tc>
          <w:tcPr>
            <w:tcW w:w="1528" w:type="dxa"/>
          </w:tcPr>
          <w:p w14:paraId="7D7E7F2D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Rm</w:t>
            </w:r>
          </w:p>
        </w:tc>
        <w:tc>
          <w:tcPr>
            <w:tcW w:w="1527" w:type="dxa"/>
          </w:tcPr>
          <w:p w14:paraId="78E1D7F5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2.416 ±0.299</w:t>
            </w:r>
          </w:p>
        </w:tc>
        <w:tc>
          <w:tcPr>
            <w:tcW w:w="1527" w:type="dxa"/>
          </w:tcPr>
          <w:p w14:paraId="0B26C087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0,428 ±0,067</w:t>
            </w:r>
          </w:p>
        </w:tc>
        <w:tc>
          <w:tcPr>
            <w:tcW w:w="1527" w:type="dxa"/>
          </w:tcPr>
          <w:p w14:paraId="68B4AB85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0.314 ±0.070</w:t>
            </w:r>
          </w:p>
        </w:tc>
        <w:tc>
          <w:tcPr>
            <w:tcW w:w="1527" w:type="dxa"/>
          </w:tcPr>
          <w:p w14:paraId="7624FB29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0.221 ±0.137</w:t>
            </w:r>
          </w:p>
        </w:tc>
        <w:tc>
          <w:tcPr>
            <w:tcW w:w="2140" w:type="dxa"/>
          </w:tcPr>
          <w:p w14:paraId="03C438AD" w14:textId="4DF4D402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de </w:t>
            </w:r>
            <w:proofErr w:type="spellStart"/>
            <w:r w:rsidRPr="00593C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</w:t>
            </w:r>
            <w:proofErr w:type="spellEnd"/>
            <w:r w:rsidRPr="00593C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Cruz et al., 2018</w:t>
            </w:r>
          </w:p>
        </w:tc>
      </w:tr>
      <w:tr w:rsidR="00593C48" w:rsidRPr="00593C48" w14:paraId="3401838C" w14:textId="77777777" w:rsidTr="00593C48">
        <w:trPr>
          <w:trHeight w:val="635"/>
        </w:trPr>
        <w:tc>
          <w:tcPr>
            <w:tcW w:w="1528" w:type="dxa"/>
          </w:tcPr>
          <w:p w14:paraId="500F8564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Rm</w:t>
            </w:r>
          </w:p>
        </w:tc>
        <w:tc>
          <w:tcPr>
            <w:tcW w:w="1527" w:type="dxa"/>
          </w:tcPr>
          <w:p w14:paraId="7E7D27C3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1.798 ±0.724</w:t>
            </w:r>
          </w:p>
        </w:tc>
        <w:tc>
          <w:tcPr>
            <w:tcW w:w="1527" w:type="dxa"/>
          </w:tcPr>
          <w:p w14:paraId="226B6D43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0.196 ±0,156</w:t>
            </w:r>
          </w:p>
        </w:tc>
        <w:tc>
          <w:tcPr>
            <w:tcW w:w="1527" w:type="dxa"/>
          </w:tcPr>
          <w:p w14:paraId="0E4B5BEA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0.190 ±0.105</w:t>
            </w:r>
          </w:p>
        </w:tc>
        <w:tc>
          <w:tcPr>
            <w:tcW w:w="1527" w:type="dxa"/>
          </w:tcPr>
          <w:p w14:paraId="7C11D8CD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-0.015 ±0.324</w:t>
            </w:r>
          </w:p>
        </w:tc>
        <w:tc>
          <w:tcPr>
            <w:tcW w:w="2140" w:type="dxa"/>
          </w:tcPr>
          <w:p w14:paraId="53B72489" w14:textId="03EA12C0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Francisco et al., 2018</w:t>
            </w:r>
          </w:p>
        </w:tc>
      </w:tr>
      <w:tr w:rsidR="00593C48" w:rsidRPr="00593C48" w14:paraId="64BD9AE6" w14:textId="77777777" w:rsidTr="00593C48">
        <w:trPr>
          <w:trHeight w:val="635"/>
        </w:trPr>
        <w:tc>
          <w:tcPr>
            <w:tcW w:w="1528" w:type="dxa"/>
          </w:tcPr>
          <w:p w14:paraId="39205B4A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Rm</w:t>
            </w:r>
          </w:p>
        </w:tc>
        <w:tc>
          <w:tcPr>
            <w:tcW w:w="1527" w:type="dxa"/>
          </w:tcPr>
          <w:p w14:paraId="295B0006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2.452 ±0.247</w:t>
            </w:r>
          </w:p>
        </w:tc>
        <w:tc>
          <w:tcPr>
            <w:tcW w:w="1527" w:type="dxa"/>
          </w:tcPr>
          <w:p w14:paraId="231CAD5D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0,425 ±0,062</w:t>
            </w:r>
          </w:p>
        </w:tc>
        <w:tc>
          <w:tcPr>
            <w:tcW w:w="1527" w:type="dxa"/>
          </w:tcPr>
          <w:p w14:paraId="1E3391B1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0.489 ±0,105</w:t>
            </w:r>
          </w:p>
        </w:tc>
        <w:tc>
          <w:tcPr>
            <w:tcW w:w="1527" w:type="dxa"/>
          </w:tcPr>
          <w:p w14:paraId="3B690306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-0.089 ±0,127</w:t>
            </w:r>
          </w:p>
        </w:tc>
        <w:tc>
          <w:tcPr>
            <w:tcW w:w="2140" w:type="dxa"/>
          </w:tcPr>
          <w:p w14:paraId="46A5E135" w14:textId="6F1DB189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Hodel et al., 2016</w:t>
            </w:r>
          </w:p>
        </w:tc>
      </w:tr>
      <w:tr w:rsidR="00593C48" w:rsidRPr="00593C48" w14:paraId="1A2C5B05" w14:textId="77777777" w:rsidTr="00593C48">
        <w:trPr>
          <w:trHeight w:val="635"/>
        </w:trPr>
        <w:tc>
          <w:tcPr>
            <w:tcW w:w="1528" w:type="dxa"/>
          </w:tcPr>
          <w:p w14:paraId="58EC51EE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Rm</w:t>
            </w:r>
          </w:p>
        </w:tc>
        <w:tc>
          <w:tcPr>
            <w:tcW w:w="1527" w:type="dxa"/>
          </w:tcPr>
          <w:p w14:paraId="7D0FF245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2.350 ±0.257</w:t>
            </w:r>
          </w:p>
        </w:tc>
        <w:tc>
          <w:tcPr>
            <w:tcW w:w="1527" w:type="dxa"/>
          </w:tcPr>
          <w:p w14:paraId="67CE46F6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0.419 ±0.071</w:t>
            </w:r>
          </w:p>
        </w:tc>
        <w:tc>
          <w:tcPr>
            <w:tcW w:w="1527" w:type="dxa"/>
          </w:tcPr>
          <w:p w14:paraId="6F853BFB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0.493 ±0.112</w:t>
            </w:r>
          </w:p>
        </w:tc>
        <w:tc>
          <w:tcPr>
            <w:tcW w:w="1527" w:type="dxa"/>
          </w:tcPr>
          <w:p w14:paraId="655B0C9C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-0.089 ±0.123</w:t>
            </w:r>
          </w:p>
        </w:tc>
        <w:tc>
          <w:tcPr>
            <w:tcW w:w="2140" w:type="dxa"/>
          </w:tcPr>
          <w:p w14:paraId="70FFA365" w14:textId="27FCF680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Hodel et al., 2017</w:t>
            </w:r>
          </w:p>
        </w:tc>
      </w:tr>
      <w:tr w:rsidR="00593C48" w:rsidRPr="00593C48" w14:paraId="2AE5DA59" w14:textId="77777777" w:rsidTr="00593C48">
        <w:trPr>
          <w:trHeight w:val="635"/>
        </w:trPr>
        <w:tc>
          <w:tcPr>
            <w:tcW w:w="1528" w:type="dxa"/>
          </w:tcPr>
          <w:p w14:paraId="32AC9613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Rm</w:t>
            </w:r>
          </w:p>
        </w:tc>
        <w:tc>
          <w:tcPr>
            <w:tcW w:w="1527" w:type="dxa"/>
          </w:tcPr>
          <w:p w14:paraId="220626C7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2.532 ±0.500</w:t>
            </w:r>
          </w:p>
        </w:tc>
        <w:tc>
          <w:tcPr>
            <w:tcW w:w="1527" w:type="dxa"/>
          </w:tcPr>
          <w:p w14:paraId="610A6BE5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0.350 ±0.122</w:t>
            </w:r>
          </w:p>
        </w:tc>
        <w:tc>
          <w:tcPr>
            <w:tcW w:w="1527" w:type="dxa"/>
          </w:tcPr>
          <w:p w14:paraId="67DA1498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0.310 ±0.106</w:t>
            </w:r>
          </w:p>
        </w:tc>
        <w:tc>
          <w:tcPr>
            <w:tcW w:w="1527" w:type="dxa"/>
          </w:tcPr>
          <w:p w14:paraId="3454F458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0.093 ±0.125</w:t>
            </w:r>
          </w:p>
        </w:tc>
        <w:tc>
          <w:tcPr>
            <w:tcW w:w="2140" w:type="dxa"/>
          </w:tcPr>
          <w:p w14:paraId="3A2EA7BD" w14:textId="6675DCCE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Kennedy et al., 2016</w:t>
            </w:r>
          </w:p>
        </w:tc>
      </w:tr>
      <w:tr w:rsidR="00593C48" w:rsidRPr="00593C48" w14:paraId="309F05FC" w14:textId="77777777" w:rsidTr="00593C48">
        <w:trPr>
          <w:trHeight w:val="635"/>
        </w:trPr>
        <w:tc>
          <w:tcPr>
            <w:tcW w:w="1528" w:type="dxa"/>
          </w:tcPr>
          <w:p w14:paraId="4EF65642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Rm</w:t>
            </w:r>
          </w:p>
        </w:tc>
        <w:tc>
          <w:tcPr>
            <w:tcW w:w="1527" w:type="dxa"/>
          </w:tcPr>
          <w:p w14:paraId="5B57F838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2.407 ±0.395</w:t>
            </w:r>
          </w:p>
        </w:tc>
        <w:tc>
          <w:tcPr>
            <w:tcW w:w="1527" w:type="dxa"/>
          </w:tcPr>
          <w:p w14:paraId="58DA58CE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0.317 ±0.096</w:t>
            </w:r>
          </w:p>
        </w:tc>
        <w:tc>
          <w:tcPr>
            <w:tcW w:w="1527" w:type="dxa"/>
          </w:tcPr>
          <w:p w14:paraId="4B8DB638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0.265 ±0.129</w:t>
            </w:r>
          </w:p>
        </w:tc>
        <w:tc>
          <w:tcPr>
            <w:tcW w:w="1527" w:type="dxa"/>
          </w:tcPr>
          <w:p w14:paraId="169464F4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0.211 ±0.222</w:t>
            </w:r>
          </w:p>
        </w:tc>
        <w:tc>
          <w:tcPr>
            <w:tcW w:w="2140" w:type="dxa"/>
          </w:tcPr>
          <w:p w14:paraId="55F1999D" w14:textId="1281E4AF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Kennedy et al., 2017</w:t>
            </w:r>
          </w:p>
        </w:tc>
      </w:tr>
      <w:tr w:rsidR="00593C48" w:rsidRPr="00593C48" w14:paraId="3F04B340" w14:textId="77777777" w:rsidTr="00593C48">
        <w:trPr>
          <w:trHeight w:val="635"/>
        </w:trPr>
        <w:tc>
          <w:tcPr>
            <w:tcW w:w="1528" w:type="dxa"/>
            <w:tcBorders>
              <w:bottom w:val="single" w:sz="4" w:space="0" w:color="000000"/>
            </w:tcBorders>
          </w:tcPr>
          <w:p w14:paraId="5FB5683D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Rm</w:t>
            </w:r>
          </w:p>
        </w:tc>
        <w:tc>
          <w:tcPr>
            <w:tcW w:w="1527" w:type="dxa"/>
            <w:tcBorders>
              <w:bottom w:val="single" w:sz="4" w:space="0" w:color="000000"/>
            </w:tcBorders>
          </w:tcPr>
          <w:p w14:paraId="4D6CE83E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1.729 ±0.237</w:t>
            </w:r>
          </w:p>
        </w:tc>
        <w:tc>
          <w:tcPr>
            <w:tcW w:w="1527" w:type="dxa"/>
            <w:tcBorders>
              <w:bottom w:val="single" w:sz="4" w:space="0" w:color="000000"/>
            </w:tcBorders>
          </w:tcPr>
          <w:p w14:paraId="66166491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0.370 ±0.113</w:t>
            </w:r>
          </w:p>
        </w:tc>
        <w:tc>
          <w:tcPr>
            <w:tcW w:w="1527" w:type="dxa"/>
            <w:tcBorders>
              <w:bottom w:val="single" w:sz="4" w:space="0" w:color="000000"/>
            </w:tcBorders>
          </w:tcPr>
          <w:p w14:paraId="041D0AE9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0.366 ±0.129</w:t>
            </w:r>
          </w:p>
        </w:tc>
        <w:tc>
          <w:tcPr>
            <w:tcW w:w="1527" w:type="dxa"/>
            <w:tcBorders>
              <w:bottom w:val="single" w:sz="4" w:space="0" w:color="000000"/>
            </w:tcBorders>
          </w:tcPr>
          <w:p w14:paraId="69384643" w14:textId="77777777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0.026 ±0.221</w:t>
            </w:r>
          </w:p>
        </w:tc>
        <w:tc>
          <w:tcPr>
            <w:tcW w:w="2140" w:type="dxa"/>
            <w:tcBorders>
              <w:bottom w:val="single" w:sz="4" w:space="0" w:color="000000"/>
            </w:tcBorders>
          </w:tcPr>
          <w:p w14:paraId="2EEC6C55" w14:textId="4B8820AD" w:rsidR="00593C48" w:rsidRPr="00593C48" w:rsidRDefault="00593C48" w:rsidP="00593C48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593C48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Takayama et al., 2013</w:t>
            </w:r>
          </w:p>
        </w:tc>
      </w:tr>
    </w:tbl>
    <w:p w14:paraId="252F078E" w14:textId="1CF63C4B" w:rsidR="00603E3D" w:rsidRPr="00427DFE" w:rsidRDefault="00427DFE" w:rsidP="00427DFE">
      <w:pPr>
        <w:spacing w:before="160"/>
        <w:rPr>
          <w:rFonts w:ascii="Times New Roman" w:hAnsi="Times New Roman" w:cs="Times New Roman"/>
          <w:b/>
          <w:bCs/>
        </w:rPr>
      </w:pPr>
      <w:proofErr w:type="spellStart"/>
      <w:r w:rsidRPr="00427DFE">
        <w:rPr>
          <w:rFonts w:ascii="Times New Roman" w:hAnsi="Times New Roman" w:cs="Times New Roman"/>
          <w:b/>
          <w:bCs/>
        </w:rPr>
        <w:t>References</w:t>
      </w:r>
      <w:proofErr w:type="spellEnd"/>
    </w:p>
    <w:p w14:paraId="798A4FFF" w14:textId="77777777" w:rsidR="00D85560" w:rsidRPr="00D27F88" w:rsidRDefault="00D85560" w:rsidP="00D85560">
      <w:pPr>
        <w:widowControl w:val="0"/>
        <w:autoSpaceDE w:val="0"/>
        <w:autoSpaceDN w:val="0"/>
        <w:adjustRightInd w:val="0"/>
        <w:spacing w:line="360" w:lineRule="auto"/>
        <w:ind w:left="480" w:hanging="480"/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</w:pPr>
      <w:r w:rsidRPr="00D27F88">
        <w:rPr>
          <w:rFonts w:ascii="Times New Roman" w:eastAsia="Calibri" w:hAnsi="Times New Roman" w:cs="Times New Roman"/>
          <w:noProof/>
          <w:kern w:val="0"/>
          <w:szCs w:val="22"/>
          <w14:ligatures w14:val="none"/>
        </w:rPr>
        <w:t xml:space="preserve">Cisneros‐de la Cruz, D. J., Martínez‐Castillo, J., Herrera‐Silveira, J., Yáñez‐Espinosa, L., Ortiz‐García, M., Us‐Santamaria, R., &amp; Andrade, J. L. (2018). </w:t>
      </w:r>
      <w:r w:rsidRPr="00D27F8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Short‐distance barriers affect genetic variability of Rhizophora mangle L. in the Yucatan Peninsula. </w:t>
      </w:r>
      <w:r w:rsidRPr="00D27F88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Ecology and Evolution</w:t>
      </w:r>
      <w:r w:rsidRPr="00D27F8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, </w:t>
      </w:r>
      <w:r w:rsidRPr="00D27F88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8</w:t>
      </w:r>
      <w:r w:rsidRPr="00D27F8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>(22), 11083–11099. https://doi.org/10.1002/ece3.4575</w:t>
      </w:r>
    </w:p>
    <w:p w14:paraId="029C7393" w14:textId="77777777" w:rsidR="00E347F0" w:rsidRPr="00D27F88" w:rsidRDefault="00E347F0" w:rsidP="00E347F0">
      <w:pPr>
        <w:widowControl w:val="0"/>
        <w:autoSpaceDE w:val="0"/>
        <w:autoSpaceDN w:val="0"/>
        <w:adjustRightInd w:val="0"/>
        <w:spacing w:line="360" w:lineRule="auto"/>
        <w:ind w:left="480" w:hanging="480"/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</w:pPr>
      <w:r w:rsidRPr="00D27F88">
        <w:rPr>
          <w:rFonts w:ascii="Times New Roman" w:eastAsia="Calibri" w:hAnsi="Times New Roman" w:cs="Times New Roman"/>
          <w:noProof/>
          <w:kern w:val="0"/>
          <w:szCs w:val="22"/>
          <w14:ligatures w14:val="none"/>
        </w:rPr>
        <w:lastRenderedPageBreak/>
        <w:t xml:space="preserve">Francisco, P. M., Mori, G. M., Alves, F. M., Tambarussi, E. V., &amp; de Souza, A. P. (2018). </w:t>
      </w:r>
      <w:r w:rsidRPr="00D27F8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Population genetic structure, introgression, and hybridization in the genus Rhizophora along the Brazilian coast. </w:t>
      </w:r>
      <w:r w:rsidRPr="00D27F88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Ecology and Evolution</w:t>
      </w:r>
      <w:r w:rsidRPr="00D27F8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, </w:t>
      </w:r>
      <w:r w:rsidRPr="00D27F88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8</w:t>
      </w:r>
      <w:r w:rsidRPr="00D27F8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>(6), 3491–3504. https://doi.org/10.1002/ece3.3900</w:t>
      </w:r>
    </w:p>
    <w:p w14:paraId="1960E461" w14:textId="77777777" w:rsidR="00E347F0" w:rsidRPr="00D27F88" w:rsidRDefault="00E347F0" w:rsidP="00E347F0">
      <w:pPr>
        <w:widowControl w:val="0"/>
        <w:autoSpaceDE w:val="0"/>
        <w:autoSpaceDN w:val="0"/>
        <w:adjustRightInd w:val="0"/>
        <w:spacing w:line="360" w:lineRule="auto"/>
        <w:ind w:left="480" w:hanging="480"/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</w:pPr>
      <w:r w:rsidRPr="00D27F8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Hodel, R. G. J., Chen, S., Payton, A. C., Mcdaniel, S. F., Soltis, P., &amp; Soltis, D. E. (2017). Adding loci improves phylogeographic resolution in red mangroves despite increased missing data : comparing microsatellites and RAD-Seq and investigating loci filtering. </w:t>
      </w:r>
      <w:r w:rsidRPr="00D27F88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Scientific Reports</w:t>
      </w:r>
      <w:r w:rsidRPr="00D27F8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, </w:t>
      </w:r>
      <w:r w:rsidRPr="00D27F88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November</w:t>
      </w:r>
      <w:r w:rsidRPr="00D27F8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>, 1–14. https://doi.org/10.1038/s41598-017-16810-7</w:t>
      </w:r>
    </w:p>
    <w:p w14:paraId="35260A32" w14:textId="77777777" w:rsidR="00E347F0" w:rsidRPr="00D27F88" w:rsidRDefault="00E347F0" w:rsidP="00E347F0">
      <w:pPr>
        <w:widowControl w:val="0"/>
        <w:autoSpaceDE w:val="0"/>
        <w:autoSpaceDN w:val="0"/>
        <w:adjustRightInd w:val="0"/>
        <w:spacing w:line="360" w:lineRule="auto"/>
        <w:ind w:left="480" w:hanging="480"/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</w:pPr>
      <w:r w:rsidRPr="00D27F8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Hodel, R. G. J., De Souza Cortez, M. B., Soltis, P. S., &amp; Soltis, D. E. (2016). Comparative phylogeography of black mangroves (Avicennia germinans) and red mangroves (Rhizophora mangle) in Florida: Testing the maritime discontinuity in coastal plants. </w:t>
      </w:r>
      <w:r w:rsidRPr="00D27F88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American Journal of Botany</w:t>
      </w:r>
      <w:r w:rsidRPr="00D27F8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, </w:t>
      </w:r>
      <w:r w:rsidRPr="00D27F88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103</w:t>
      </w:r>
      <w:r w:rsidRPr="00D27F8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>(4), 730–739. https://doi.org/10.3732/ajb.1500260</w:t>
      </w:r>
    </w:p>
    <w:p w14:paraId="2F6D89FF" w14:textId="77777777" w:rsidR="00F72788" w:rsidRPr="00D27F88" w:rsidRDefault="00F72788" w:rsidP="00F72788">
      <w:pPr>
        <w:widowControl w:val="0"/>
        <w:autoSpaceDE w:val="0"/>
        <w:autoSpaceDN w:val="0"/>
        <w:adjustRightInd w:val="0"/>
        <w:spacing w:line="360" w:lineRule="auto"/>
        <w:ind w:left="480" w:hanging="480"/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</w:pPr>
      <w:r w:rsidRPr="00D27F8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Kennedy, J. P., Garavelli, L., Truelove, N. K., Devlin, D. J., Box, S. J., Ch, L. M., &amp; Feller, I. C. (2017). </w:t>
      </w:r>
      <w:r w:rsidRPr="00D27F88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Contrasting genetic effects of red mangrove ( Rhizophora mangle L .) range expansion along West and East Florida</w:t>
      </w:r>
      <w:r w:rsidRPr="00D27F8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>. 335–347. https://doi.org/10.1111/jbi.12813</w:t>
      </w:r>
    </w:p>
    <w:p w14:paraId="1853B69C" w14:textId="77777777" w:rsidR="00F72788" w:rsidRPr="00D27F88" w:rsidRDefault="00F72788" w:rsidP="00F72788">
      <w:pPr>
        <w:widowControl w:val="0"/>
        <w:autoSpaceDE w:val="0"/>
        <w:autoSpaceDN w:val="0"/>
        <w:adjustRightInd w:val="0"/>
        <w:spacing w:line="360" w:lineRule="auto"/>
        <w:ind w:left="480" w:hanging="480"/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</w:pPr>
      <w:r w:rsidRPr="00D27F8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Kennedy, J. P., Pil, M. W., Proffi, C. E., Boeger, W. A., Stanford, A. M., &amp; Devlin, D. J. (2016). </w:t>
      </w:r>
      <w:r w:rsidRPr="00D27F88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Postglacial expansion pathways of red mangrove , Rhizophora mangle , in the Caribbean Basin and Florida 1</w:t>
      </w:r>
      <w:r w:rsidRPr="00D27F8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. </w:t>
      </w:r>
      <w:r w:rsidRPr="00D27F88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103</w:t>
      </w:r>
      <w:r w:rsidRPr="00D27F8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>(2), 260–276. https://doi.org/10.3732/ajb.1500183</w:t>
      </w:r>
    </w:p>
    <w:p w14:paraId="5E913046" w14:textId="77777777" w:rsidR="00F72788" w:rsidRPr="00D27F88" w:rsidRDefault="00F72788" w:rsidP="00F72788">
      <w:pPr>
        <w:widowControl w:val="0"/>
        <w:autoSpaceDE w:val="0"/>
        <w:autoSpaceDN w:val="0"/>
        <w:adjustRightInd w:val="0"/>
        <w:spacing w:line="360" w:lineRule="auto"/>
        <w:ind w:left="480" w:hanging="480"/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</w:pPr>
      <w:r w:rsidRPr="00D27F8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Kennedy, J. P., Preziosi, R. F., Rowntree, J. K., &amp; Feller, I. C. (2020). Is the central-marginal hypothesis a general rule? Evidence from three distributions of an expanding mangrove species, Avicennia germinans (L.) L. </w:t>
      </w:r>
      <w:r w:rsidRPr="00D27F88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Molecular Ecology</w:t>
      </w:r>
      <w:r w:rsidRPr="00D27F8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, </w:t>
      </w:r>
      <w:r w:rsidRPr="00D27F88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29</w:t>
      </w:r>
      <w:r w:rsidRPr="00D27F8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>(4), 704–719. https://doi.org/10.1111/mec.15365</w:t>
      </w:r>
    </w:p>
    <w:p w14:paraId="4A6E0958" w14:textId="77777777" w:rsidR="00F72788" w:rsidRPr="00D27F88" w:rsidRDefault="00F72788" w:rsidP="00F72788">
      <w:pPr>
        <w:widowControl w:val="0"/>
        <w:autoSpaceDE w:val="0"/>
        <w:autoSpaceDN w:val="0"/>
        <w:adjustRightInd w:val="0"/>
        <w:spacing w:line="360" w:lineRule="auto"/>
        <w:ind w:left="480" w:hanging="480"/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</w:pPr>
      <w:r w:rsidRPr="00D27F88">
        <w:rPr>
          <w:rFonts w:ascii="Times New Roman" w:eastAsia="Calibri" w:hAnsi="Times New Roman" w:cs="Times New Roman"/>
          <w:noProof/>
          <w:kern w:val="0"/>
          <w:szCs w:val="22"/>
          <w14:ligatures w14:val="none"/>
        </w:rPr>
        <w:t xml:space="preserve">Mori, G. M., Zucchi, M. I., &amp; Souza, A. P. (2015). </w:t>
      </w:r>
      <w:r w:rsidRPr="00D27F8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Multiple-geographic-scale genetic structure of two mangrove tree species: The roles of mating system, hybridization, limited dispersal and extrinsic factors. </w:t>
      </w:r>
      <w:r w:rsidRPr="00D27F88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PLoS ONE</w:t>
      </w:r>
      <w:r w:rsidRPr="00D27F8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, </w:t>
      </w:r>
      <w:r w:rsidRPr="00D27F88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10</w:t>
      </w:r>
      <w:r w:rsidRPr="00D27F8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>(2), 1–23. https://doi.org/10.1371/journal.pone.0118710</w:t>
      </w:r>
    </w:p>
    <w:p w14:paraId="149A623B" w14:textId="77777777" w:rsidR="00D83FF8" w:rsidRPr="00D27F88" w:rsidRDefault="00D83FF8" w:rsidP="00D83FF8">
      <w:pPr>
        <w:widowControl w:val="0"/>
        <w:autoSpaceDE w:val="0"/>
        <w:autoSpaceDN w:val="0"/>
        <w:adjustRightInd w:val="0"/>
        <w:spacing w:line="360" w:lineRule="auto"/>
        <w:ind w:left="480" w:hanging="480"/>
        <w:rPr>
          <w:rFonts w:ascii="Times New Roman" w:eastAsia="Calibri" w:hAnsi="Times New Roman" w:cs="Times New Roman"/>
          <w:noProof/>
          <w:color w:val="EE0000"/>
          <w:kern w:val="0"/>
          <w:szCs w:val="22"/>
          <w:lang w:val="en"/>
          <w14:ligatures w14:val="none"/>
        </w:rPr>
      </w:pPr>
      <w:r w:rsidRPr="00D27F8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>Ochoa-Zavala, M., Jaramillo-Correa, J. P., Piñero, D., Nettel-Hernanz, A., &amp; Núñez-</w:t>
      </w:r>
      <w:r w:rsidRPr="00D27F8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lastRenderedPageBreak/>
        <w:t xml:space="preserve">Farfán, J. (2019). Contrasting colonization patterns of black mangrove (Avicennia germinans (L.) L.) gene pools along the Mexican coasts. </w:t>
      </w:r>
      <w:r w:rsidRPr="00D27F88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Journal of Biogeography</w:t>
      </w:r>
      <w:r w:rsidRPr="00D27F8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, </w:t>
      </w:r>
      <w:r w:rsidRPr="00D27F88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46</w:t>
      </w:r>
      <w:r w:rsidRPr="00D27F8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>(5), 884–898. https://doi.org/10.1111/jbi.13536</w:t>
      </w:r>
    </w:p>
    <w:p w14:paraId="5E754B36" w14:textId="77777777" w:rsidR="00D83FF8" w:rsidRPr="00D83FF8" w:rsidRDefault="00D83FF8" w:rsidP="00D83FF8">
      <w:pPr>
        <w:widowControl w:val="0"/>
        <w:autoSpaceDE w:val="0"/>
        <w:autoSpaceDN w:val="0"/>
        <w:adjustRightInd w:val="0"/>
        <w:spacing w:line="360" w:lineRule="auto"/>
        <w:ind w:left="480" w:hanging="480"/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</w:pPr>
      <w:r w:rsidRPr="00593C48">
        <w:rPr>
          <w:rFonts w:ascii="Times New Roman" w:eastAsia="Calibri" w:hAnsi="Times New Roman" w:cs="Times New Roman"/>
          <w:noProof/>
          <w:kern w:val="0"/>
          <w:szCs w:val="22"/>
          <w:lang w:val="en-US"/>
          <w14:ligatures w14:val="none"/>
        </w:rPr>
        <w:t xml:space="preserve">Sereneski-Lima, C., Baggio, R. A., Pil, M. W., Torres Boeger, M. R., &amp; Boeger, W. A. (2021). </w:t>
      </w:r>
      <w:r w:rsidRPr="00D83FF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Historical and contemporary factors affect the genetic diversity and structure of Laguncularia racemosa (L.) Gaertn, along the western Atlantic coast. </w:t>
      </w:r>
      <w:r w:rsidRPr="00D83FF8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Estuarine, Coastal and Shelf Science</w:t>
      </w:r>
      <w:r w:rsidRPr="00D83FF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, </w:t>
      </w:r>
      <w:r w:rsidRPr="00D83FF8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249</w:t>
      </w:r>
      <w:r w:rsidRPr="00D83FF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>(September 2019), 107055. https://doi.org/10.1016/j.ecss.2020.107055</w:t>
      </w:r>
    </w:p>
    <w:p w14:paraId="340FED93" w14:textId="2D73D1DA" w:rsidR="00D85560" w:rsidRPr="00427DFE" w:rsidRDefault="00CB5D7E" w:rsidP="00427DFE">
      <w:pPr>
        <w:widowControl w:val="0"/>
        <w:autoSpaceDE w:val="0"/>
        <w:autoSpaceDN w:val="0"/>
        <w:adjustRightInd w:val="0"/>
        <w:spacing w:line="360" w:lineRule="auto"/>
        <w:ind w:left="480" w:hanging="480"/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</w:pPr>
      <w:r w:rsidRPr="00CB5D7E">
        <w:rPr>
          <w:rFonts w:ascii="Times New Roman" w:eastAsia="Calibri" w:hAnsi="Times New Roman" w:cs="Times New Roman"/>
          <w:noProof/>
          <w:kern w:val="0"/>
          <w:szCs w:val="22"/>
          <w14:ligatures w14:val="none"/>
        </w:rPr>
        <w:t xml:space="preserve">Takayama, K., Tamura, M., Tateishi, Y., Webb, E. L., &amp; Kajita, T. (2013). </w:t>
      </w:r>
      <w:r w:rsidRPr="00CB5D7E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Strong genetic structure over the American continents and transoceanic dispersal in the mangrove genus Rhizophora (Rhizophoraceae) revealed by broad- scale nuclear and chloroplast DNA analysis. </w:t>
      </w:r>
      <w:r w:rsidRPr="00CB5D7E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American Journal of Botany</w:t>
      </w:r>
      <w:r w:rsidRPr="00CB5D7E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, </w:t>
      </w:r>
      <w:r w:rsidRPr="00CB5D7E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100</w:t>
      </w:r>
      <w:r w:rsidRPr="00CB5D7E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>(6), 1191–1201. https://doi.org/10.3732/ajb.1200567</w:t>
      </w:r>
    </w:p>
    <w:sectPr w:rsidR="00D85560" w:rsidRPr="00427D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8E2"/>
    <w:rsid w:val="000F7B09"/>
    <w:rsid w:val="004128E2"/>
    <w:rsid w:val="00427DFE"/>
    <w:rsid w:val="004C4BC9"/>
    <w:rsid w:val="00593C48"/>
    <w:rsid w:val="00603E3D"/>
    <w:rsid w:val="00687D13"/>
    <w:rsid w:val="009824F3"/>
    <w:rsid w:val="00A42496"/>
    <w:rsid w:val="00A6228A"/>
    <w:rsid w:val="00B50802"/>
    <w:rsid w:val="00CB5D7E"/>
    <w:rsid w:val="00D27F88"/>
    <w:rsid w:val="00D83FF8"/>
    <w:rsid w:val="00D85560"/>
    <w:rsid w:val="00E347F0"/>
    <w:rsid w:val="00F72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C373E"/>
  <w15:chartTrackingRefBased/>
  <w15:docId w15:val="{99A19EDC-9E21-476C-B10D-F1E3BB871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8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8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8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8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8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8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8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8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47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47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762</Words>
  <Characters>4118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Francisco Justino</dc:creator>
  <cp:keywords/>
  <dc:description/>
  <cp:lastModifiedBy>Rodrigo Francisco Justino</cp:lastModifiedBy>
  <cp:revision>9</cp:revision>
  <dcterms:created xsi:type="dcterms:W3CDTF">2025-11-12T21:22:00Z</dcterms:created>
  <dcterms:modified xsi:type="dcterms:W3CDTF">2025-11-14T01:23:00Z</dcterms:modified>
</cp:coreProperties>
</file>