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EBDE" w14:textId="232E7ADA" w:rsidR="00C543D3" w:rsidRPr="00C543D3" w:rsidRDefault="00C543D3" w:rsidP="00882970">
      <w:pPr>
        <w:widowControl w:val="0"/>
        <w:autoSpaceDE w:val="0"/>
        <w:autoSpaceDN w:val="0"/>
        <w:adjustRightInd w:val="0"/>
        <w:spacing w:line="360" w:lineRule="auto"/>
        <w:ind w:firstLine="426"/>
        <w:jc w:val="both"/>
        <w:rPr>
          <w:lang w:val="en-US"/>
        </w:rPr>
      </w:pPr>
      <w:r w:rsidRPr="00C543D3">
        <w:rPr>
          <w:rFonts w:cs="Times New Roman"/>
          <w:b/>
          <w:bCs/>
          <w:lang w:val="en-US"/>
        </w:rPr>
        <w:t>TABLE S2</w:t>
      </w:r>
      <w:r w:rsidRPr="00C543D3">
        <w:rPr>
          <w:rFonts w:cs="Times New Roman"/>
          <w:lang w:val="en-US"/>
        </w:rPr>
        <w:t xml:space="preserve"> </w:t>
      </w:r>
      <w:r w:rsidRPr="00C543D3">
        <w:rPr>
          <w:rFonts w:eastAsia="Times New Roman" w:cs="Times New Roman"/>
          <w:lang w:val="en-US"/>
        </w:rPr>
        <w:t>Mantel modeling tests</w:t>
      </w:r>
      <w:r w:rsidRPr="00735320">
        <w:rPr>
          <w:rFonts w:eastAsia="Times New Roman" w:cs="Times New Roman"/>
          <w:lang w:val="en-US"/>
        </w:rPr>
        <w:t xml:space="preserve"> </w:t>
      </w:r>
      <w:r w:rsidRPr="00C543D3">
        <w:rPr>
          <w:rFonts w:eastAsia="Times New Roman" w:cs="Times New Roman"/>
          <w:lang w:val="en-US"/>
        </w:rPr>
        <w:t>performed with symmetric matrices between Slatkin's linearized F</w:t>
      </w:r>
      <w:r w:rsidRPr="00C543D3">
        <w:rPr>
          <w:rFonts w:eastAsia="Times New Roman" w:cs="Times New Roman"/>
          <w:vertAlign w:val="subscript"/>
          <w:lang w:val="en-US"/>
        </w:rPr>
        <w:t xml:space="preserve">ST </w:t>
      </w:r>
      <w:r w:rsidRPr="00C543D3">
        <w:rPr>
          <w:rFonts w:eastAsia="Times New Roman" w:cs="Times New Roman"/>
          <w:lang w:val="en-US"/>
        </w:rPr>
        <w:t xml:space="preserve">(D) and </w:t>
      </w:r>
      <w:proofErr w:type="gramStart"/>
      <w:r w:rsidRPr="00C543D3">
        <w:rPr>
          <w:rFonts w:eastAsia="Times New Roman" w:cs="Times New Roman"/>
          <w:lang w:val="en-US"/>
        </w:rPr>
        <w:t>shortest</w:t>
      </w:r>
      <w:proofErr w:type="gramEnd"/>
      <w:r w:rsidRPr="00C543D3">
        <w:rPr>
          <w:rFonts w:eastAsia="Times New Roman" w:cs="Times New Roman"/>
          <w:lang w:val="en-US"/>
        </w:rPr>
        <w:t xml:space="preserve"> distance through water and Euclidean distance and </w:t>
      </w:r>
      <w:proofErr w:type="gramStart"/>
      <w:r w:rsidRPr="00C543D3">
        <w:rPr>
          <w:rFonts w:eastAsia="Times New Roman" w:cs="Times New Roman"/>
          <w:lang w:val="en-US"/>
        </w:rPr>
        <w:t>shortest</w:t>
      </w:r>
      <w:proofErr w:type="gramEnd"/>
      <w:r w:rsidRPr="00C543D3">
        <w:rPr>
          <w:rFonts w:eastAsia="Times New Roman" w:cs="Times New Roman"/>
          <w:lang w:val="en-US"/>
        </w:rPr>
        <w:t xml:space="preserve"> distance through water controlled by Euclidean distance (Partial mantel). Pearson correlation values </w:t>
      </w:r>
      <w:r w:rsidRPr="00C543D3">
        <w:rPr>
          <w:rFonts w:eastAsia="Times New Roman" w:cs="Times New Roman"/>
          <w:i/>
          <w:iCs/>
          <w:lang w:val="en-US"/>
        </w:rPr>
        <w:t>(r)</w:t>
      </w:r>
      <w:r w:rsidRPr="00C543D3">
        <w:rPr>
          <w:rFonts w:eastAsia="Times New Roman" w:cs="Times New Roman"/>
          <w:lang w:val="en-US"/>
        </w:rPr>
        <w:t xml:space="preserve">. Significance values </w:t>
      </w:r>
      <w:r w:rsidRPr="00C543D3">
        <w:rPr>
          <w:rFonts w:eastAsia="Times New Roman" w:cs="Times New Roman"/>
          <w:i/>
          <w:iCs/>
          <w:lang w:val="en-US"/>
        </w:rPr>
        <w:t>(p)</w:t>
      </w:r>
      <w:r w:rsidRPr="00C543D3">
        <w:rPr>
          <w:rFonts w:eastAsia="Times New Roman" w:cs="Times New Roman"/>
          <w:lang w:val="en-US"/>
        </w:rPr>
        <w:t>, showed in bold for p &lt; 0.05. Molecular marker: SNP or Msat (microsatellite) and Reference of data source are shown.</w:t>
      </w:r>
      <w:r w:rsidR="005F29CC" w:rsidRPr="005F29CC">
        <w:rPr>
          <w:rFonts w:ascii="Times New Roman" w:eastAsia="Times New Roman" w:hAnsi="Times New Roman" w:cs="Times New Roman"/>
          <w:kern w:val="0"/>
          <w:vertAlign w:val="superscript"/>
          <w:lang w:val="en"/>
          <w14:ligatures w14:val="none"/>
        </w:rPr>
        <w:t xml:space="preserve"> </w:t>
      </w:r>
      <w:r w:rsidR="005F29CC">
        <w:rPr>
          <w:rFonts w:ascii="Times New Roman" w:eastAsia="Times New Roman" w:hAnsi="Times New Roman" w:cs="Times New Roman"/>
          <w:kern w:val="0"/>
          <w:vertAlign w:val="superscript"/>
          <w:lang w:val="en"/>
          <w14:ligatures w14:val="none"/>
        </w:rPr>
        <w:t>1</w:t>
      </w:r>
      <w:r w:rsidR="005F29CC" w:rsidRPr="00EE135F">
        <w:rPr>
          <w:lang w:val="en-US"/>
        </w:rPr>
        <w:t xml:space="preserve"> </w:t>
      </w:r>
      <w:r w:rsidR="005F29CC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Atlantic</w:t>
      </w:r>
      <w:r w:rsidR="005F29CC"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Ocean Basin</w:t>
      </w:r>
      <w:r w:rsidR="005F29CC">
        <w:rPr>
          <w:rFonts w:ascii="Times New Roman" w:eastAsia="Times New Roman" w:hAnsi="Times New Roman" w:cs="Times New Roman"/>
          <w:kern w:val="0"/>
          <w:lang w:val="en"/>
          <w14:ligatures w14:val="none"/>
        </w:rPr>
        <w:t>;</w:t>
      </w:r>
      <w:r>
        <w:rPr>
          <w:rFonts w:eastAsia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kern w:val="0"/>
          <w:vertAlign w:val="superscript"/>
          <w:lang w:val="en"/>
          <w14:ligatures w14:val="none"/>
        </w:rPr>
        <w:t>2</w:t>
      </w:r>
      <w:r w:rsidRPr="00EE135F">
        <w:rPr>
          <w:lang w:val="en-US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>Pacific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Ocean Basin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. </w:t>
      </w:r>
      <w:r w:rsidRPr="00C543D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information 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was not 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>shown</w:t>
      </w:r>
      <w:r w:rsidRPr="00EE135F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C543D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when the test could not be performed: the matrices 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>presented</w:t>
      </w:r>
      <w:r w:rsidRPr="00C543D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dimensions 2x2 (k=2).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711"/>
        <w:gridCol w:w="236"/>
        <w:gridCol w:w="2069"/>
        <w:gridCol w:w="307"/>
        <w:gridCol w:w="970"/>
        <w:gridCol w:w="2555"/>
      </w:tblGrid>
      <w:tr w:rsidR="00C543D3" w14:paraId="522F195F" w14:textId="77777777" w:rsidTr="00A13684">
        <w:tc>
          <w:tcPr>
            <w:tcW w:w="9545" w:type="dxa"/>
            <w:gridSpan w:val="7"/>
            <w:tcBorders>
              <w:left w:val="nil"/>
              <w:right w:val="nil"/>
            </w:tcBorders>
          </w:tcPr>
          <w:p w14:paraId="1FCE8E2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bookmarkStart w:id="0" w:name="_Hlk205415674"/>
            <w:r>
              <w:rPr>
                <w:rFonts w:eastAsia="Aptos" w:cs="Times New Roman"/>
              </w:rPr>
              <w:t xml:space="preserve">a)  </w:t>
            </w:r>
            <w:proofErr w:type="spellStart"/>
            <w:r>
              <w:rPr>
                <w:rFonts w:eastAsia="Aptos" w:cs="Times New Roman"/>
                <w:i/>
                <w:iCs/>
              </w:rPr>
              <w:t>Avicennia</w:t>
            </w:r>
            <w:proofErr w:type="spellEnd"/>
            <w:r>
              <w:rPr>
                <w:rFonts w:eastAsia="Aptos" w:cs="Times New Roman"/>
                <w:i/>
                <w:iCs/>
              </w:rPr>
              <w:t xml:space="preserve"> germinans</w:t>
            </w:r>
          </w:p>
        </w:tc>
      </w:tr>
      <w:tr w:rsidR="00C543D3" w14:paraId="579E6161" w14:textId="77777777" w:rsidTr="00A13684"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73ED30BE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Mantel D</w:t>
            </w:r>
          </w:p>
        </w:tc>
        <w:tc>
          <w:tcPr>
            <w:tcW w:w="1711" w:type="dxa"/>
            <w:tcBorders>
              <w:left w:val="nil"/>
              <w:bottom w:val="single" w:sz="4" w:space="0" w:color="auto"/>
              <w:right w:val="nil"/>
            </w:tcBorders>
          </w:tcPr>
          <w:p w14:paraId="6D73E40E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1200D0D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left w:val="nil"/>
              <w:bottom w:val="single" w:sz="4" w:space="0" w:color="auto"/>
              <w:right w:val="nil"/>
            </w:tcBorders>
          </w:tcPr>
          <w:p w14:paraId="4457B2C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Partial Mantel D</w:t>
            </w:r>
          </w:p>
        </w:tc>
        <w:tc>
          <w:tcPr>
            <w:tcW w:w="307" w:type="dxa"/>
            <w:tcBorders>
              <w:left w:val="nil"/>
              <w:bottom w:val="single" w:sz="4" w:space="0" w:color="auto"/>
              <w:right w:val="nil"/>
            </w:tcBorders>
          </w:tcPr>
          <w:p w14:paraId="73722F6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left w:val="nil"/>
              <w:bottom w:val="nil"/>
              <w:right w:val="nil"/>
            </w:tcBorders>
          </w:tcPr>
          <w:p w14:paraId="7E910AE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555" w:type="dxa"/>
            <w:tcBorders>
              <w:left w:val="nil"/>
              <w:bottom w:val="nil"/>
              <w:right w:val="nil"/>
            </w:tcBorders>
          </w:tcPr>
          <w:p w14:paraId="1D5B6E2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</w:tr>
      <w:tr w:rsidR="00C543D3" w14:paraId="4F1848FB" w14:textId="77777777" w:rsidTr="00A13684"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0AA67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  <w:p w14:paraId="1DA045F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Water</w:t>
            </w:r>
            <w:proofErr w:type="spellEnd"/>
            <w:r>
              <w:rPr>
                <w:rFonts w:eastAsia="Aptos" w:cs="Times New Roman"/>
              </w:rPr>
              <w:t xml:space="preserve"> </w:t>
            </w:r>
            <w:r>
              <w:rPr>
                <w:rFonts w:eastAsia="Aptos" w:cs="Times New Roman"/>
                <w:i/>
                <w:iCs/>
              </w:rPr>
              <w:t>r</w:t>
            </w:r>
            <w:r>
              <w:rPr>
                <w:rFonts w:eastAsia="Aptos" w:cs="Times New Roman"/>
              </w:rPr>
              <w:t xml:space="preserve"> (</w:t>
            </w:r>
            <w:r>
              <w:rPr>
                <w:rFonts w:eastAsia="Aptos" w:cs="Times New Roman"/>
                <w:i/>
                <w:iCs/>
              </w:rPr>
              <w:t>p</w:t>
            </w:r>
            <w:r>
              <w:rPr>
                <w:rFonts w:eastAsia="Aptos" w:cs="Times New Roman"/>
              </w:rPr>
              <w:t>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A8295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  <w:p w14:paraId="56477D18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Euclidean</w:t>
            </w:r>
            <w:proofErr w:type="spellEnd"/>
            <w:r>
              <w:rPr>
                <w:rFonts w:eastAsia="Aptos" w:cs="Times New Roman"/>
              </w:rPr>
              <w:t xml:space="preserve"> r (</w:t>
            </w:r>
            <w:r>
              <w:rPr>
                <w:rFonts w:eastAsia="Aptos" w:cs="Times New Roman"/>
                <w:i/>
                <w:iCs/>
              </w:rPr>
              <w:t>p</w:t>
            </w:r>
            <w:r>
              <w:rPr>
                <w:rFonts w:eastAsia="Aptos" w:cs="Times New Roman"/>
              </w:rPr>
              <w:t>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F96F749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95EC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lang w:val="en-US"/>
              </w:rPr>
            </w:pPr>
            <w:r>
              <w:rPr>
                <w:rFonts w:eastAsia="Aptos" w:cs="Times New Roman"/>
                <w:lang w:val="en-US"/>
              </w:rPr>
              <w:t xml:space="preserve">Water controlled by Euclidean </w:t>
            </w:r>
            <w:r>
              <w:rPr>
                <w:rFonts w:eastAsia="Aptos" w:cs="Times New Roman"/>
                <w:i/>
                <w:iCs/>
                <w:lang w:val="en-US"/>
              </w:rPr>
              <w:t xml:space="preserve">r </w:t>
            </w:r>
            <w:r>
              <w:rPr>
                <w:rFonts w:eastAsia="Aptos" w:cs="Times New Roman"/>
                <w:lang w:val="en-US"/>
              </w:rPr>
              <w:t>(</w:t>
            </w:r>
            <w:r>
              <w:rPr>
                <w:rFonts w:eastAsia="Aptos" w:cs="Times New Roman"/>
                <w:i/>
                <w:iCs/>
                <w:lang w:val="en-US"/>
              </w:rPr>
              <w:t>p</w:t>
            </w:r>
            <w:r>
              <w:rPr>
                <w:rFonts w:eastAsia="Aptos" w:cs="Times New Roman"/>
                <w:lang w:val="en-US"/>
              </w:rPr>
              <w:t>)</w:t>
            </w:r>
          </w:p>
        </w:tc>
        <w:tc>
          <w:tcPr>
            <w:tcW w:w="3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D58EB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lang w:val="en-US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0286A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lang w:val="en-US"/>
              </w:rPr>
            </w:pPr>
          </w:p>
          <w:p w14:paraId="42AB5E1F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lang w:val="en-US"/>
              </w:rPr>
            </w:pPr>
            <w:r>
              <w:rPr>
                <w:rFonts w:eastAsia="Aptos" w:cs="Times New Roman"/>
                <w:lang w:val="en-US"/>
              </w:rPr>
              <w:t>Marker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6AF97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lang w:val="en-US"/>
              </w:rPr>
            </w:pPr>
          </w:p>
          <w:p w14:paraId="09CB160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lang w:val="en-US"/>
              </w:rPr>
            </w:pPr>
            <w:r>
              <w:rPr>
                <w:rFonts w:eastAsia="Aptos" w:cs="Times New Roman"/>
                <w:lang w:val="en-US"/>
              </w:rPr>
              <w:t>Reference</w:t>
            </w:r>
          </w:p>
        </w:tc>
      </w:tr>
      <w:tr w:rsidR="00C543D3" w14:paraId="4E1EAA90" w14:textId="77777777" w:rsidTr="00A13684"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71B4A17E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-0.83 (0.83)</w:t>
            </w:r>
          </w:p>
        </w:tc>
        <w:tc>
          <w:tcPr>
            <w:tcW w:w="1711" w:type="dxa"/>
            <w:tcBorders>
              <w:left w:val="nil"/>
              <w:bottom w:val="nil"/>
              <w:right w:val="nil"/>
            </w:tcBorders>
          </w:tcPr>
          <w:p w14:paraId="39A4569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0.03 (0.50)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9A7D0D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left w:val="nil"/>
              <w:bottom w:val="nil"/>
              <w:right w:val="nil"/>
            </w:tcBorders>
          </w:tcPr>
          <w:p w14:paraId="71BC3D47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-1 (1.00)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5D87B9D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left w:val="nil"/>
              <w:bottom w:val="nil"/>
              <w:right w:val="nil"/>
            </w:tcBorders>
          </w:tcPr>
          <w:p w14:paraId="3AF0457E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left w:val="nil"/>
              <w:bottom w:val="nil"/>
              <w:right w:val="nil"/>
            </w:tcBorders>
          </w:tcPr>
          <w:p w14:paraId="2EA6BFF3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Hodel</w:t>
            </w:r>
            <w:proofErr w:type="spellEnd"/>
            <w:r>
              <w:rPr>
                <w:rFonts w:eastAsia="Aptos" w:cs="Times New Roman"/>
              </w:rPr>
              <w:t xml:space="preserve"> et al., 2016</w:t>
            </w:r>
          </w:p>
        </w:tc>
      </w:tr>
      <w:tr w:rsidR="00C543D3" w14:paraId="087278FF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98235A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0.29 (0.50)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634FF06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0.72 (0.17)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CC6588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03E832A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-1 (1.00)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93AB979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CEA4149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11D7375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Kennedy et al., 2020</w:t>
            </w:r>
          </w:p>
        </w:tc>
      </w:tr>
      <w:tr w:rsidR="00C543D3" w14:paraId="758FC00F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987C3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-0.29 (0.79)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36E14E6D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-0.27 (0.79)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C8A7147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628AE2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-0.29 (0.71)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41ADBD4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143F01D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65F6AC4" w14:textId="2C333A57" w:rsidR="00C543D3" w:rsidRPr="005F29CC" w:rsidRDefault="00C543D3" w:rsidP="00574944">
            <w:pPr>
              <w:spacing w:after="0" w:line="240" w:lineRule="auto"/>
              <w:rPr>
                <w:rFonts w:eastAsia="Aptos" w:cs="Times New Roman"/>
                <w:vertAlign w:val="superscript"/>
              </w:rPr>
            </w:pPr>
            <w:r>
              <w:rPr>
                <w:rFonts w:eastAsia="Aptos" w:cs="Times New Roman"/>
              </w:rPr>
              <w:t>O-Zavala et al., 2019</w:t>
            </w:r>
            <w:r w:rsidR="005F29CC">
              <w:rPr>
                <w:rFonts w:eastAsia="Aptos" w:cs="Times New Roman"/>
                <w:vertAlign w:val="superscript"/>
              </w:rPr>
              <w:t>1</w:t>
            </w:r>
          </w:p>
        </w:tc>
      </w:tr>
      <w:tr w:rsidR="00C543D3" w14:paraId="5DC4E327" w14:textId="77777777" w:rsidTr="00A13684"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C7FE01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0.83 (0.17)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683E4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0.78 (0.17)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9584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2C374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1 (0.66)</w:t>
            </w: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20533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9E3DE9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SNP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9D8F3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Cruz et al., 2020</w:t>
            </w:r>
          </w:p>
        </w:tc>
      </w:tr>
      <w:tr w:rsidR="00C543D3" w14:paraId="11DDE778" w14:textId="77777777" w:rsidTr="00A13684">
        <w:tc>
          <w:tcPr>
            <w:tcW w:w="9545" w:type="dxa"/>
            <w:gridSpan w:val="7"/>
            <w:tcBorders>
              <w:left w:val="nil"/>
              <w:right w:val="nil"/>
            </w:tcBorders>
          </w:tcPr>
          <w:p w14:paraId="654B3931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 xml:space="preserve">b) </w:t>
            </w:r>
            <w:proofErr w:type="spellStart"/>
            <w:r>
              <w:rPr>
                <w:rFonts w:eastAsia="Aptos" w:cs="Times New Roman"/>
                <w:i/>
                <w:iCs/>
              </w:rPr>
              <w:t>Laguncularia</w:t>
            </w:r>
            <w:proofErr w:type="spellEnd"/>
            <w:r>
              <w:rPr>
                <w:rFonts w:eastAsia="Aptos" w:cs="Times New Roman"/>
                <w:i/>
                <w:iCs/>
              </w:rPr>
              <w:t xml:space="preserve"> racemosa</w:t>
            </w:r>
          </w:p>
        </w:tc>
      </w:tr>
      <w:tr w:rsidR="00C543D3" w14:paraId="02CDB1C1" w14:textId="77777777" w:rsidTr="00A13684"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090591D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0.43 (0.16)</w:t>
            </w:r>
          </w:p>
        </w:tc>
        <w:tc>
          <w:tcPr>
            <w:tcW w:w="1711" w:type="dxa"/>
            <w:tcBorders>
              <w:left w:val="nil"/>
              <w:bottom w:val="single" w:sz="4" w:space="0" w:color="auto"/>
              <w:right w:val="nil"/>
            </w:tcBorders>
          </w:tcPr>
          <w:p w14:paraId="35B8447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0.46 (0.13)</w:t>
            </w: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</w:tcPr>
          <w:p w14:paraId="79264F08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left w:val="nil"/>
              <w:bottom w:val="single" w:sz="4" w:space="0" w:color="auto"/>
              <w:right w:val="nil"/>
            </w:tcBorders>
          </w:tcPr>
          <w:p w14:paraId="4DB2D7A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-0.06 (0.43)</w:t>
            </w:r>
          </w:p>
        </w:tc>
        <w:tc>
          <w:tcPr>
            <w:tcW w:w="307" w:type="dxa"/>
            <w:tcBorders>
              <w:left w:val="nil"/>
              <w:bottom w:val="single" w:sz="4" w:space="0" w:color="auto"/>
              <w:right w:val="nil"/>
            </w:tcBorders>
          </w:tcPr>
          <w:p w14:paraId="6107CAF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left w:val="nil"/>
              <w:bottom w:val="single" w:sz="4" w:space="0" w:color="auto"/>
              <w:right w:val="nil"/>
            </w:tcBorders>
          </w:tcPr>
          <w:p w14:paraId="0301CFB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SNP</w:t>
            </w:r>
          </w:p>
        </w:tc>
        <w:tc>
          <w:tcPr>
            <w:tcW w:w="2555" w:type="dxa"/>
            <w:tcBorders>
              <w:left w:val="nil"/>
              <w:bottom w:val="single" w:sz="4" w:space="0" w:color="auto"/>
              <w:right w:val="nil"/>
            </w:tcBorders>
          </w:tcPr>
          <w:p w14:paraId="7789F6CB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Hodel</w:t>
            </w:r>
            <w:proofErr w:type="spellEnd"/>
            <w:r>
              <w:rPr>
                <w:rFonts w:eastAsia="Aptos" w:cs="Times New Roman"/>
              </w:rPr>
              <w:t xml:space="preserve"> et al., 2018</w:t>
            </w:r>
          </w:p>
        </w:tc>
      </w:tr>
      <w:tr w:rsidR="00C543D3" w14:paraId="436B4127" w14:textId="77777777" w:rsidTr="00A13684">
        <w:tc>
          <w:tcPr>
            <w:tcW w:w="9545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2828E1CD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 xml:space="preserve">c) </w:t>
            </w:r>
            <w:proofErr w:type="spellStart"/>
            <w:r>
              <w:rPr>
                <w:rFonts w:eastAsia="Aptos" w:cs="Times New Roman"/>
                <w:i/>
                <w:iCs/>
              </w:rPr>
              <w:t>Rhizophora</w:t>
            </w:r>
            <w:proofErr w:type="spellEnd"/>
            <w:r>
              <w:rPr>
                <w:rFonts w:eastAsia="Aptos" w:cs="Times New Roman"/>
                <w:i/>
                <w:iCs/>
              </w:rPr>
              <w:t xml:space="preserve"> mangle</w:t>
            </w:r>
          </w:p>
        </w:tc>
      </w:tr>
      <w:tr w:rsidR="00C543D3" w14:paraId="1B0C9770" w14:textId="77777777" w:rsidTr="00A13684"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04AF512F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-0.99 (1.00)</w:t>
            </w:r>
          </w:p>
        </w:tc>
        <w:tc>
          <w:tcPr>
            <w:tcW w:w="1711" w:type="dxa"/>
            <w:tcBorders>
              <w:left w:val="nil"/>
              <w:bottom w:val="nil"/>
              <w:right w:val="nil"/>
            </w:tcBorders>
          </w:tcPr>
          <w:p w14:paraId="54CA2DA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-0.62 (0.84)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6B460E4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left w:val="nil"/>
              <w:bottom w:val="nil"/>
              <w:right w:val="nil"/>
            </w:tcBorders>
          </w:tcPr>
          <w:p w14:paraId="799E6C8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-1 (1.00)</w:t>
            </w:r>
          </w:p>
        </w:tc>
        <w:tc>
          <w:tcPr>
            <w:tcW w:w="307" w:type="dxa"/>
            <w:tcBorders>
              <w:left w:val="nil"/>
              <w:bottom w:val="nil"/>
              <w:right w:val="nil"/>
            </w:tcBorders>
          </w:tcPr>
          <w:p w14:paraId="4DB6031B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left w:val="nil"/>
              <w:bottom w:val="nil"/>
              <w:right w:val="nil"/>
            </w:tcBorders>
          </w:tcPr>
          <w:p w14:paraId="5AA2061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left w:val="nil"/>
              <w:bottom w:val="nil"/>
              <w:right w:val="nil"/>
            </w:tcBorders>
          </w:tcPr>
          <w:p w14:paraId="14D06DAF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Hodel</w:t>
            </w:r>
            <w:proofErr w:type="spellEnd"/>
            <w:r>
              <w:rPr>
                <w:rFonts w:eastAsia="Aptos" w:cs="Times New Roman"/>
              </w:rPr>
              <w:t xml:space="preserve"> et al., 2016</w:t>
            </w:r>
          </w:p>
        </w:tc>
      </w:tr>
      <w:tr w:rsidR="00C543D3" w14:paraId="43BB4BB2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D1A546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0.58 (0.11)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06245CB8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0.54 (0.16)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C05B0E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16027EB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0.31 (0.16)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20E83D5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885D35A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1109E5A3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Hodel</w:t>
            </w:r>
            <w:proofErr w:type="spellEnd"/>
            <w:r>
              <w:rPr>
                <w:rFonts w:eastAsia="Aptos" w:cs="Times New Roman"/>
              </w:rPr>
              <w:t xml:space="preserve"> et al., 2017</w:t>
            </w:r>
          </w:p>
        </w:tc>
      </w:tr>
      <w:tr w:rsidR="00C543D3" w14:paraId="3F29F332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353CF53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-0.82 (1.00)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41454698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-0.11 (0.67)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B20BD7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E7D00AF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-1(1.00)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7C9021A5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067C29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67A1A453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Kennedy et al., 2016</w:t>
            </w:r>
          </w:p>
        </w:tc>
      </w:tr>
      <w:tr w:rsidR="00C543D3" w14:paraId="46F703B7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63A659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0.28 (0.33)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54F16E5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-0.40 (0.75)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23AAF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C61D27D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0.21 (0.38)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7FD4F7A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82E81D7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1B37CE6E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Kennedy et al., 2017</w:t>
            </w:r>
          </w:p>
        </w:tc>
      </w:tr>
      <w:tr w:rsidR="00C543D3" w14:paraId="3F930A83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D564E5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-0.18 (0.59)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4307FE5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-0.19 (0.60)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4B4A22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0BC75A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0.01 (0.49)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18FA3AD9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52B04CA1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Msat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5078A65C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vertAlign w:val="superscript"/>
              </w:rPr>
            </w:pPr>
            <w:r>
              <w:rPr>
                <w:rFonts w:eastAsia="Aptos" w:cs="Times New Roman"/>
              </w:rPr>
              <w:t>Takayama et al., 2013</w:t>
            </w:r>
            <w:r>
              <w:rPr>
                <w:rFonts w:eastAsia="Aptos" w:cs="Times New Roman"/>
                <w:vertAlign w:val="superscript"/>
              </w:rPr>
              <w:t>2</w:t>
            </w:r>
          </w:p>
        </w:tc>
      </w:tr>
      <w:tr w:rsidR="00C543D3" w14:paraId="62E3D330" w14:textId="77777777" w:rsidTr="00A13684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7071D6F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0.58 (0.11)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3700D6A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0.54 (0.16)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636DE3E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71F8BEBF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0.31 (0.16)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6EBA978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752FBEB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SNP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</w:tcPr>
          <w:p w14:paraId="159727F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Hodel</w:t>
            </w:r>
            <w:proofErr w:type="spellEnd"/>
            <w:r>
              <w:rPr>
                <w:rFonts w:eastAsia="Aptos" w:cs="Times New Roman"/>
              </w:rPr>
              <w:t xml:space="preserve"> et al., 2017</w:t>
            </w:r>
          </w:p>
        </w:tc>
      </w:tr>
      <w:tr w:rsidR="00C543D3" w14:paraId="15BBF503" w14:textId="77777777" w:rsidTr="00A13684"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5929D0B2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b/>
                <w:bCs/>
              </w:rPr>
            </w:pPr>
            <w:r>
              <w:rPr>
                <w:rFonts w:eastAsia="Aptos" w:cs="Times New Roman"/>
                <w:b/>
                <w:bCs/>
              </w:rPr>
              <w:t>0.53 (0.04)</w:t>
            </w:r>
          </w:p>
        </w:tc>
        <w:tc>
          <w:tcPr>
            <w:tcW w:w="1711" w:type="dxa"/>
            <w:tcBorders>
              <w:top w:val="nil"/>
              <w:left w:val="nil"/>
              <w:right w:val="nil"/>
            </w:tcBorders>
          </w:tcPr>
          <w:p w14:paraId="34382AF6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  <w:b/>
                <w:bCs/>
              </w:rPr>
            </w:pPr>
            <w:r>
              <w:rPr>
                <w:rFonts w:eastAsia="Aptos" w:cs="Times New Roman"/>
                <w:b/>
                <w:bCs/>
              </w:rPr>
              <w:t>0.59 (0.03)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69D4E13A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2069" w:type="dxa"/>
            <w:tcBorders>
              <w:top w:val="nil"/>
              <w:left w:val="nil"/>
              <w:right w:val="nil"/>
            </w:tcBorders>
          </w:tcPr>
          <w:p w14:paraId="26D16150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-0.18 (0.67)</w:t>
            </w:r>
          </w:p>
        </w:tc>
        <w:tc>
          <w:tcPr>
            <w:tcW w:w="307" w:type="dxa"/>
            <w:tcBorders>
              <w:top w:val="nil"/>
              <w:left w:val="nil"/>
              <w:right w:val="nil"/>
            </w:tcBorders>
          </w:tcPr>
          <w:p w14:paraId="498EFB7A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</w:p>
        </w:tc>
        <w:tc>
          <w:tcPr>
            <w:tcW w:w="970" w:type="dxa"/>
            <w:tcBorders>
              <w:top w:val="nil"/>
              <w:left w:val="nil"/>
              <w:right w:val="nil"/>
            </w:tcBorders>
          </w:tcPr>
          <w:p w14:paraId="0D5240C1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SNP</w:t>
            </w:r>
          </w:p>
        </w:tc>
        <w:tc>
          <w:tcPr>
            <w:tcW w:w="2555" w:type="dxa"/>
            <w:tcBorders>
              <w:top w:val="nil"/>
              <w:left w:val="nil"/>
              <w:right w:val="nil"/>
            </w:tcBorders>
          </w:tcPr>
          <w:p w14:paraId="278ADFE4" w14:textId="77777777" w:rsidR="00C543D3" w:rsidRDefault="00C543D3" w:rsidP="00574944">
            <w:pPr>
              <w:spacing w:after="0" w:line="240" w:lineRule="auto"/>
              <w:rPr>
                <w:rFonts w:eastAsia="Aptos" w:cs="Times New Roman"/>
              </w:rPr>
            </w:pPr>
            <w:proofErr w:type="spellStart"/>
            <w:r>
              <w:rPr>
                <w:rFonts w:eastAsia="Aptos" w:cs="Times New Roman"/>
              </w:rPr>
              <w:t>Hodel</w:t>
            </w:r>
            <w:proofErr w:type="spellEnd"/>
            <w:r>
              <w:rPr>
                <w:rFonts w:eastAsia="Aptos" w:cs="Times New Roman"/>
              </w:rPr>
              <w:t xml:space="preserve"> et al., 2018</w:t>
            </w:r>
          </w:p>
        </w:tc>
      </w:tr>
    </w:tbl>
    <w:bookmarkEnd w:id="0"/>
    <w:p w14:paraId="252F078E" w14:textId="1CF63C4B" w:rsidR="00603E3D" w:rsidRPr="00427DFE" w:rsidRDefault="00427DFE" w:rsidP="00427DFE">
      <w:pPr>
        <w:spacing w:before="160"/>
        <w:rPr>
          <w:rFonts w:ascii="Times New Roman" w:hAnsi="Times New Roman" w:cs="Times New Roman"/>
          <w:b/>
          <w:bCs/>
        </w:rPr>
      </w:pPr>
      <w:proofErr w:type="spellStart"/>
      <w:r w:rsidRPr="00427DFE">
        <w:rPr>
          <w:rFonts w:ascii="Times New Roman" w:hAnsi="Times New Roman" w:cs="Times New Roman"/>
          <w:b/>
          <w:bCs/>
        </w:rPr>
        <w:t>References</w:t>
      </w:r>
      <w:proofErr w:type="spellEnd"/>
    </w:p>
    <w:p w14:paraId="0F5B20F1" w14:textId="77777777" w:rsidR="00D85560" w:rsidRPr="006E0C59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Cruz, M. V., Mori, G. M., Oh, D. H., Dassanayake, M., Zucchi, M. I., Oliveira, R. S., &amp; Souza, A. P. de. 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(2020). Molecular responses to freshwater limitation in the mangrove tree Avicennia germinans (Acanthaceae).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Molecular Ecology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29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>(2), 344–362. https://doi.org/10.1111/mec.15330</w:t>
      </w:r>
    </w:p>
    <w:p w14:paraId="1960E461" w14:textId="77777777" w:rsidR="00E347F0" w:rsidRPr="006E0C59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Chen, S., Payton, A. C., Mcdaniel, S. F., Soltis, P., &amp; Soltis, D. E. (2017). Adding loci improves phylogeographic resolution in red mangroves despite increased missing data : comparing microsatellites and RAD-Seq and investigating loci filtering.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Scientific Reports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November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, 1–14. https://doi.org/10.1038/s41598-017-16810-7</w:t>
      </w:r>
    </w:p>
    <w:p w14:paraId="35260A32" w14:textId="77777777" w:rsidR="00E347F0" w:rsidRPr="006E0C59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De Souza Cortez, M. B., Soltis, P. S., &amp; Soltis, D. E. (2016). Comparative phylogeography of black mangroves (Avicennia germinans) and red mangroves (Rhizophora mangle) in Florida: Testing the maritime discontinuity in coastal plants.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 xml:space="preserve">American Journal of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lastRenderedPageBreak/>
        <w:t>Botany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730–739. https://doi.org/10.3732/ajb.1500260</w:t>
      </w:r>
    </w:p>
    <w:p w14:paraId="0F61F968" w14:textId="77777777" w:rsidR="00E347F0" w:rsidRPr="006E0C59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Knowles, L. L., McDaniel, S. F., Payton, A. C., Dunaway, J. F., Soltis, P. S., &amp; Soltis, D. E. (2018). Terrestrial species adapted to sea dispersal: Differences in propagule dispersal of two Caribbean mangroves.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27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(22), 4612–4626. https://doi.org/10.1111/mec.14894</w:t>
      </w:r>
    </w:p>
    <w:p w14:paraId="2F6D89FF" w14:textId="77777777" w:rsidR="00F72788" w:rsidRPr="006E0C59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Garavelli, L., Truelove, N. K., Devlin, D. J., Box, S. J., Ch, L. M., &amp; Feller, I. C. (2017).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Contrasting genetic effects of red mangrove ( Rhizophora mangle L .) range expansion along West and East Florida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. 335–347. https://doi.org/10.1111/jbi.12813</w:t>
      </w:r>
    </w:p>
    <w:p w14:paraId="1853B69C" w14:textId="77777777" w:rsidR="00F72788" w:rsidRPr="006E0C59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Pil, M. W., Proffi, C. E., Boeger, W. A., Stanford, A. M., &amp; Devlin, D. J. (2016).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Postglacial expansion pathways of red mangrove , Rhizophora mangle , in the Caribbean Basin and Florida 1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260–276. https://doi.org/10.3732/ajb.1500183</w:t>
      </w:r>
    </w:p>
    <w:p w14:paraId="5E913046" w14:textId="77777777" w:rsidR="00F72788" w:rsidRPr="006E0C59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Preziosi, R. F., Rowntree, J. K., &amp; Feller, I. C. (2020). Is the central-marginal hypothesis a general rule? Evidence from three distributions of an expanding mangrove species, Avicennia germinans (L.) L.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29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704–719. https://doi.org/10.1111/mec.15365</w:t>
      </w:r>
    </w:p>
    <w:p w14:paraId="149A623B" w14:textId="77777777" w:rsidR="00D83FF8" w:rsidRPr="006E0C59" w:rsidRDefault="00D83FF8" w:rsidP="00D83FF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Ochoa-Zavala, M., Jaramillo-Correa, J. P., Piñero, D., Nettel-Hernanz, A., &amp; Núñez-Farfán, J. (2019). 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Contrasting colonization patterns of black mangrove (Avicennia germinans (L.) L.) gene pools along the Mexican coasts.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Journal of Biogeography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46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(5), 884–898. https://doi.org/10.1111/jbi.13536</w:t>
      </w:r>
    </w:p>
    <w:p w14:paraId="340FED93" w14:textId="2D73D1DA" w:rsidR="00D85560" w:rsidRPr="006E0C59" w:rsidRDefault="00CB5D7E" w:rsidP="00427DF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6E0C59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Takayama, K., Tamura, M., Tateishi, Y., Webb, E. L., &amp; Kajita, T. (2013). 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Strong genetic structure over the American continents and transoceanic dispersal in the mangrove genus Rhizophora (Rhizophoraceae) revealed by broad- scale nuclear and chloroplast DNA analysis.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6E0C59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100</w:t>
      </w:r>
      <w:r w:rsidRPr="006E0C59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1191–1201. https://doi.org/10.3732/ajb.1200567</w:t>
      </w:r>
    </w:p>
    <w:sectPr w:rsidR="00D85560" w:rsidRPr="006E0C59" w:rsidSect="0098527D">
      <w:pgSz w:w="11906" w:h="16838"/>
      <w:pgMar w:top="1417" w:right="707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2"/>
    <w:rsid w:val="000F7B09"/>
    <w:rsid w:val="004128E2"/>
    <w:rsid w:val="00427DFE"/>
    <w:rsid w:val="004C4BC9"/>
    <w:rsid w:val="005F29CC"/>
    <w:rsid w:val="00603E3D"/>
    <w:rsid w:val="00687D13"/>
    <w:rsid w:val="006E0C59"/>
    <w:rsid w:val="00882970"/>
    <w:rsid w:val="00960033"/>
    <w:rsid w:val="009824F3"/>
    <w:rsid w:val="0098527D"/>
    <w:rsid w:val="00A13684"/>
    <w:rsid w:val="00A42496"/>
    <w:rsid w:val="00B50802"/>
    <w:rsid w:val="00B668A4"/>
    <w:rsid w:val="00B700EE"/>
    <w:rsid w:val="00C543D3"/>
    <w:rsid w:val="00CB421B"/>
    <w:rsid w:val="00CB5D7E"/>
    <w:rsid w:val="00D63F77"/>
    <w:rsid w:val="00D83FF8"/>
    <w:rsid w:val="00D85560"/>
    <w:rsid w:val="00E347F0"/>
    <w:rsid w:val="00F7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73E"/>
  <w15:chartTrackingRefBased/>
  <w15:docId w15:val="{99A19EDC-9E21-476C-B10D-F1E3BB8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667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17</cp:revision>
  <dcterms:created xsi:type="dcterms:W3CDTF">2025-11-12T21:22:00Z</dcterms:created>
  <dcterms:modified xsi:type="dcterms:W3CDTF">2025-11-14T01:07:00Z</dcterms:modified>
</cp:coreProperties>
</file>