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94B6" w14:textId="44E94432" w:rsidR="00EE135F" w:rsidRPr="00EE135F" w:rsidRDefault="00EE135F" w:rsidP="00EE135F">
      <w:pPr>
        <w:keepNext/>
        <w:spacing w:line="360" w:lineRule="auto"/>
        <w:ind w:firstLine="340"/>
        <w:jc w:val="both"/>
        <w:rPr>
          <w:rFonts w:ascii="Times New Roman" w:eastAsia="Calibri" w:hAnsi="Times New Roman" w:cs="Times New Roman"/>
          <w:kern w:val="0"/>
          <w:lang w:val="en"/>
          <w14:ligatures w14:val="none"/>
        </w:rPr>
      </w:pPr>
      <w:bookmarkStart w:id="0" w:name="_Hlk205486136"/>
      <w:r w:rsidRPr="00EE135F">
        <w:rPr>
          <w:rFonts w:ascii="Times New Roman" w:eastAsia="Calibri" w:hAnsi="Times New Roman" w:cs="Times New Roman"/>
          <w:b/>
          <w:bCs/>
          <w:kern w:val="0"/>
          <w:lang w:val="en"/>
          <w14:ligatures w14:val="none"/>
        </w:rPr>
        <w:t>TABLE S1</w:t>
      </w:r>
      <w:r w:rsidRPr="00EE135F">
        <w:rPr>
          <w:rFonts w:ascii="Times New Roman" w:eastAsia="Calibri" w:hAnsi="Times New Roman" w:cs="Times New Roman"/>
          <w:kern w:val="0"/>
          <w:lang w:val="en"/>
          <w14:ligatures w14:val="none"/>
        </w:rPr>
        <w:t xml:space="preserve"> 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>Mantel modeling tests</w:t>
      </w:r>
      <w:r w:rsidRPr="00EE13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performed with asymmetric matrice</w:t>
      </w:r>
      <w:bookmarkEnd w:id="0"/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s: Between Recent migration rates (RMR) and dispersal inferred by Oceanographic modeling. Pearson correlation values </w:t>
      </w:r>
      <w:r w:rsidRPr="00EE135F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(r)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Significance values </w:t>
      </w:r>
      <w:r w:rsidRPr="00EE135F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(p)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showed in bold for p &lt; 0.05. Molecular marker: SNP or Msat (microsatellite) and Reference of data source are shown</w:t>
      </w:r>
      <w:r w:rsidRPr="00EE135F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.</w:t>
      </w:r>
      <w:r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 xml:space="preserve"> </w:t>
      </w:r>
      <w:bookmarkStart w:id="1" w:name="_Hlk213951586"/>
      <w:r>
        <w:rPr>
          <w:rFonts w:ascii="Times New Roman" w:eastAsia="Times New Roman" w:hAnsi="Times New Roman" w:cs="Times New Roman"/>
          <w:kern w:val="0"/>
          <w:vertAlign w:val="superscript"/>
          <w:lang w:val="en"/>
          <w14:ligatures w14:val="none"/>
        </w:rPr>
        <w:t>1</w:t>
      </w:r>
      <w:r w:rsidRPr="00EE135F">
        <w:rPr>
          <w:lang w:val="en-US"/>
        </w:rPr>
        <w:t xml:space="preserve"> 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Atlantic Ocean Basin</w:t>
      </w:r>
      <w:bookmarkEnd w:id="1"/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kern w:val="0"/>
          <w:vertAlign w:val="superscript"/>
          <w:lang w:val="en"/>
          <w14:ligatures w14:val="none"/>
        </w:rPr>
        <w:t>2</w:t>
      </w:r>
      <w:r w:rsidRPr="00EE135F">
        <w:rPr>
          <w:lang w:val="en-US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>Pacific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Ocean Basin</w:t>
      </w: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information was not </w:t>
      </w:r>
      <w:r w:rsidR="006B6E06">
        <w:rPr>
          <w:rFonts w:ascii="Times New Roman" w:eastAsia="Times New Roman" w:hAnsi="Times New Roman" w:cs="Times New Roman"/>
          <w:kern w:val="0"/>
          <w:lang w:val="en"/>
          <w14:ligatures w14:val="none"/>
        </w:rPr>
        <w:t>shown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when at least one of the matrices </w:t>
      </w: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>presented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all values ​​equal to zero.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1"/>
        <w:gridCol w:w="1789"/>
        <w:gridCol w:w="2040"/>
        <w:gridCol w:w="2274"/>
      </w:tblGrid>
      <w:tr w:rsidR="00EE135F" w:rsidRPr="00EE135F" w14:paraId="2E4C2729" w14:textId="77777777" w:rsidTr="00FE6DB9">
        <w:tc>
          <w:tcPr>
            <w:tcW w:w="9071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3E0704B3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a)  </w:t>
            </w:r>
            <w:proofErr w:type="spellStart"/>
            <w:r w:rsidRPr="00EE135F">
              <w:rPr>
                <w:rFonts w:ascii="Times New Roman" w:eastAsia="Aptos" w:hAnsi="Times New Roman" w:cs="Times New Roman"/>
                <w:i/>
                <w:iCs/>
                <w14:ligatures w14:val="none"/>
              </w:rPr>
              <w:t>Avicennia</w:t>
            </w:r>
            <w:proofErr w:type="spellEnd"/>
            <w:r w:rsidRPr="00EE135F">
              <w:rPr>
                <w:rFonts w:ascii="Times New Roman" w:eastAsia="Aptos" w:hAnsi="Times New Roman" w:cs="Times New Roman"/>
                <w:i/>
                <w:iCs/>
                <w14:ligatures w14:val="none"/>
              </w:rPr>
              <w:t xml:space="preserve"> germinans</w:t>
            </w:r>
          </w:p>
        </w:tc>
      </w:tr>
      <w:tr w:rsidR="00EE135F" w:rsidRPr="00EE135F" w14:paraId="186B5EAC" w14:textId="77777777" w:rsidTr="00FE6DB9">
        <w:tc>
          <w:tcPr>
            <w:tcW w:w="2500" w:type="dxa"/>
            <w:tcBorders>
              <w:left w:val="nil"/>
              <w:bottom w:val="single" w:sz="4" w:space="0" w:color="auto"/>
              <w:right w:val="nil"/>
            </w:tcBorders>
          </w:tcPr>
          <w:p w14:paraId="3A872B75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Mantel RMR</w:t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 w14:paraId="6E9AFFFE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left w:val="nil"/>
              <w:bottom w:val="nil"/>
              <w:right w:val="nil"/>
            </w:tcBorders>
          </w:tcPr>
          <w:p w14:paraId="4B5BA0F8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408" w:type="dxa"/>
            <w:tcBorders>
              <w:left w:val="nil"/>
              <w:bottom w:val="nil"/>
              <w:right w:val="nil"/>
            </w:tcBorders>
          </w:tcPr>
          <w:p w14:paraId="153B20F0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</w:tr>
      <w:tr w:rsidR="00EE135F" w:rsidRPr="00EE135F" w14:paraId="2FB8B469" w14:textId="77777777" w:rsidTr="00FE6DB9">
        <w:tc>
          <w:tcPr>
            <w:tcW w:w="2500" w:type="dxa"/>
            <w:tcBorders>
              <w:left w:val="nil"/>
              <w:right w:val="nil"/>
            </w:tcBorders>
          </w:tcPr>
          <w:p w14:paraId="6A1BAAE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Oceanography </w:t>
            </w:r>
            <w:r w:rsidRPr="00EE135F">
              <w:rPr>
                <w:rFonts w:ascii="Times New Roman" w:eastAsia="Aptos" w:hAnsi="Times New Roman" w:cs="Times New Roman"/>
                <w:i/>
                <w:iCs/>
                <w14:ligatures w14:val="none"/>
              </w:rPr>
              <w:t>r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 (</w:t>
            </w:r>
            <w:r w:rsidRPr="00EE135F">
              <w:rPr>
                <w:rFonts w:ascii="Times New Roman" w:eastAsia="Aptos" w:hAnsi="Times New Roman" w:cs="Times New Roman"/>
                <w:i/>
                <w:iCs/>
                <w14:ligatures w14:val="none"/>
              </w:rPr>
              <w:t>p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>)</w:t>
            </w: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14:paraId="42781F28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right w:val="nil"/>
            </w:tcBorders>
          </w:tcPr>
          <w:p w14:paraId="15502710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proofErr w:type="spellStart"/>
            <w:r w:rsidRPr="00EE135F">
              <w:rPr>
                <w:rFonts w:ascii="Times New Roman" w:eastAsia="Aptos" w:hAnsi="Times New Roman" w:cs="Times New Roman"/>
                <w14:ligatures w14:val="none"/>
              </w:rPr>
              <w:t>Marker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right w:val="nil"/>
            </w:tcBorders>
          </w:tcPr>
          <w:p w14:paraId="3EF74902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proofErr w:type="spellStart"/>
            <w:r w:rsidRPr="00EE135F">
              <w:rPr>
                <w:rFonts w:ascii="Times New Roman" w:eastAsia="Aptos" w:hAnsi="Times New Roman" w:cs="Times New Roman"/>
                <w14:ligatures w14:val="none"/>
              </w:rPr>
              <w:t>Reference</w:t>
            </w:r>
            <w:proofErr w:type="spellEnd"/>
          </w:p>
        </w:tc>
      </w:tr>
      <w:tr w:rsidR="00EE135F" w:rsidRPr="00EE135F" w14:paraId="76021D33" w14:textId="77777777" w:rsidTr="00FE6DB9">
        <w:tc>
          <w:tcPr>
            <w:tcW w:w="2500" w:type="dxa"/>
            <w:tcBorders>
              <w:left w:val="nil"/>
              <w:bottom w:val="nil"/>
              <w:right w:val="nil"/>
            </w:tcBorders>
          </w:tcPr>
          <w:p w14:paraId="5BEDDC1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-0.13 (0.84)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 w14:paraId="4F211DD2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left w:val="nil"/>
              <w:bottom w:val="nil"/>
              <w:right w:val="nil"/>
            </w:tcBorders>
          </w:tcPr>
          <w:p w14:paraId="4481D55C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left w:val="nil"/>
              <w:bottom w:val="nil"/>
              <w:right w:val="nil"/>
            </w:tcBorders>
          </w:tcPr>
          <w:p w14:paraId="43E2FC9E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proofErr w:type="spellStart"/>
            <w:r w:rsidRPr="00EE135F">
              <w:rPr>
                <w:rFonts w:ascii="Times New Roman" w:eastAsia="Aptos" w:hAnsi="Times New Roman" w:cs="Times New Roman"/>
                <w14:ligatures w14:val="none"/>
              </w:rPr>
              <w:t>Hodel</w:t>
            </w:r>
            <w:proofErr w:type="spellEnd"/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 et al., 2016</w:t>
            </w:r>
          </w:p>
        </w:tc>
      </w:tr>
      <w:tr w:rsidR="00EE135F" w:rsidRPr="00EE135F" w14:paraId="544BA33C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A272BA2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-0.17 (0.89)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BC1B44D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312ECEA2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6BB9DC77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Kennedy et al., 2020</w:t>
            </w:r>
          </w:p>
        </w:tc>
      </w:tr>
      <w:tr w:rsidR="00EE135F" w:rsidRPr="00EE135F" w14:paraId="158F0D41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4C2251D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:b/>
                <w:bCs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:b/>
                <w:bCs/>
                <w14:ligatures w14:val="none"/>
              </w:rPr>
              <w:t>0.97 (&lt;10</w:t>
            </w:r>
            <w:r w:rsidRPr="00EE135F">
              <w:rPr>
                <w:rFonts w:ascii="Times New Roman" w:eastAsia="Aptos" w:hAnsi="Times New Roman" w:cs="Times New Roman"/>
                <w:b/>
                <w:bCs/>
                <w:vertAlign w:val="superscript"/>
                <w14:ligatures w14:val="none"/>
              </w:rPr>
              <w:t>-5</w:t>
            </w:r>
            <w:r w:rsidRPr="00EE135F">
              <w:rPr>
                <w:rFonts w:ascii="Times New Roman" w:eastAsia="Aptos" w:hAnsi="Times New Roman" w:cs="Times New Roman"/>
                <w:b/>
                <w:bCs/>
                <w14:ligatures w14:val="none"/>
              </w:rPr>
              <w:t>)</w:t>
            </w:r>
            <w:r w:rsidRPr="00EE135F">
              <w:rPr>
                <w:rFonts w:ascii="Times New Roman" w:eastAsia="Aptos" w:hAnsi="Times New Roman" w:cs="Times New Roman"/>
                <w:b/>
                <w:bCs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716AE1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1C217935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4B33995B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Mori et al., 2015</w:t>
            </w:r>
          </w:p>
        </w:tc>
      </w:tr>
      <w:tr w:rsidR="00EE135F" w:rsidRPr="00EE135F" w14:paraId="6B843ABC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BFC3E3F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-0.13 (0.85)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6ECC33E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440AD885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6F214C97" w14:textId="13BF09D4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O</w:t>
            </w:r>
            <w:r w:rsidR="0045132D">
              <w:rPr>
                <w:rFonts w:ascii="Times New Roman" w:eastAsia="Aptos" w:hAnsi="Times New Roman" w:cs="Times New Roman"/>
                <w14:ligatures w14:val="none"/>
              </w:rPr>
              <w:t>choa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>-Zavala et al., 2019</w:t>
            </w:r>
            <w:r w:rsidRPr="00EE135F">
              <w:rPr>
                <w:rFonts w:ascii="Times New Roman" w:eastAsia="Aptos" w:hAnsi="Times New Roman" w:cs="Times New Roman"/>
                <w:vertAlign w:val="superscript"/>
                <w14:ligatures w14:val="none"/>
              </w:rPr>
              <w:t>1</w:t>
            </w:r>
          </w:p>
        </w:tc>
      </w:tr>
      <w:tr w:rsidR="00EE135F" w:rsidRPr="00EE135F" w14:paraId="11BBB5FF" w14:textId="77777777" w:rsidTr="00FE6DB9"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E1E21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0.24 (0.78)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66BE1D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984E7A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SNP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078665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Cruz et al., 2020</w:t>
            </w:r>
          </w:p>
        </w:tc>
      </w:tr>
      <w:tr w:rsidR="00EE135F" w:rsidRPr="00EE135F" w14:paraId="1AA122EE" w14:textId="77777777" w:rsidTr="00FE6DB9">
        <w:tc>
          <w:tcPr>
            <w:tcW w:w="90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41C14A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b)  </w:t>
            </w:r>
            <w:proofErr w:type="spellStart"/>
            <w:r w:rsidRPr="00EE135F">
              <w:rPr>
                <w:rFonts w:ascii="Times New Roman" w:eastAsia="Aptos" w:hAnsi="Times New Roman" w:cs="Times New Roman"/>
                <w:i/>
                <w:iCs/>
                <w14:ligatures w14:val="none"/>
              </w:rPr>
              <w:t>Laguncularia</w:t>
            </w:r>
            <w:proofErr w:type="spellEnd"/>
            <w:r w:rsidRPr="00EE135F">
              <w:rPr>
                <w:rFonts w:ascii="Times New Roman" w:eastAsia="Aptos" w:hAnsi="Times New Roman" w:cs="Times New Roman"/>
                <w:i/>
                <w:iCs/>
                <w14:ligatures w14:val="none"/>
              </w:rPr>
              <w:t xml:space="preserve"> racemosa</w:t>
            </w:r>
          </w:p>
        </w:tc>
      </w:tr>
      <w:tr w:rsidR="00EE135F" w:rsidRPr="00EE135F" w14:paraId="20537BCD" w14:textId="77777777" w:rsidTr="00FE6DB9"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C5BF48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-0.17 (0.41)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47F72F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E2B199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SNP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C40728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proofErr w:type="spellStart"/>
            <w:r w:rsidRPr="00EE135F">
              <w:rPr>
                <w:rFonts w:ascii="Times New Roman" w:eastAsia="Aptos" w:hAnsi="Times New Roman" w:cs="Times New Roman"/>
                <w14:ligatures w14:val="none"/>
              </w:rPr>
              <w:t>Hodel</w:t>
            </w:r>
            <w:proofErr w:type="spellEnd"/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 et al.,2018</w:t>
            </w:r>
          </w:p>
        </w:tc>
      </w:tr>
      <w:tr w:rsidR="00EE135F" w:rsidRPr="00EE135F" w14:paraId="34368DD2" w14:textId="77777777" w:rsidTr="00FE6DB9">
        <w:tc>
          <w:tcPr>
            <w:tcW w:w="90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C11B0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c) </w:t>
            </w:r>
            <w:proofErr w:type="spellStart"/>
            <w:r w:rsidRPr="00EE135F">
              <w:rPr>
                <w:rFonts w:ascii="Times New Roman" w:eastAsia="Aptos" w:hAnsi="Times New Roman" w:cs="Times New Roman"/>
                <w:i/>
                <w:iCs/>
                <w14:ligatures w14:val="none"/>
              </w:rPr>
              <w:t>Rhizophora</w:t>
            </w:r>
            <w:proofErr w:type="spellEnd"/>
            <w:r w:rsidRPr="00EE135F">
              <w:rPr>
                <w:rFonts w:ascii="Times New Roman" w:eastAsia="Aptos" w:hAnsi="Times New Roman" w:cs="Times New Roman"/>
                <w:i/>
                <w:iCs/>
                <w14:ligatures w14:val="none"/>
              </w:rPr>
              <w:t xml:space="preserve"> mangle</w:t>
            </w:r>
          </w:p>
        </w:tc>
      </w:tr>
      <w:tr w:rsidR="00EE135F" w:rsidRPr="00EE135F" w14:paraId="38E7DA22" w14:textId="77777777" w:rsidTr="00FE6DB9">
        <w:tc>
          <w:tcPr>
            <w:tcW w:w="25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EB868F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0.14 (0.50)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95EA8E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53EB74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7C9EE1" w14:textId="31B4F7C4" w:rsidR="00EE135F" w:rsidRPr="00EE135F" w:rsidRDefault="004A139C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D85560">
              <w:rPr>
                <w:rFonts w:ascii="Times New Roman" w:eastAsia="Calibri" w:hAnsi="Times New Roman" w:cs="Times New Roman"/>
                <w:noProof/>
                <w:kern w:val="0"/>
                <w:szCs w:val="22"/>
                <w14:ligatures w14:val="none"/>
              </w:rPr>
              <w:t>Cisneros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 </w:t>
            </w:r>
            <w:r w:rsidR="00EE135F" w:rsidRPr="00EE135F">
              <w:rPr>
                <w:rFonts w:ascii="Times New Roman" w:eastAsia="Aptos" w:hAnsi="Times New Roman" w:cs="Times New Roman"/>
                <w14:ligatures w14:val="none"/>
              </w:rPr>
              <w:t xml:space="preserve">de </w:t>
            </w:r>
            <w:proofErr w:type="spellStart"/>
            <w:r w:rsidR="00EE135F" w:rsidRPr="00EE135F">
              <w:rPr>
                <w:rFonts w:ascii="Times New Roman" w:eastAsia="Aptos" w:hAnsi="Times New Roman" w:cs="Times New Roman"/>
                <w14:ligatures w14:val="none"/>
              </w:rPr>
              <w:t>la</w:t>
            </w:r>
            <w:proofErr w:type="spellEnd"/>
            <w:r w:rsidR="00EE135F" w:rsidRPr="00EE135F">
              <w:rPr>
                <w:rFonts w:ascii="Times New Roman" w:eastAsia="Aptos" w:hAnsi="Times New Roman" w:cs="Times New Roman"/>
                <w14:ligatures w14:val="none"/>
              </w:rPr>
              <w:t xml:space="preserve"> Cruz et al., 2018</w:t>
            </w:r>
          </w:p>
        </w:tc>
      </w:tr>
      <w:tr w:rsidR="00EE135F" w:rsidRPr="00EE135F" w14:paraId="1B8822CB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1A80D44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-0.30 (0.50)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711A50D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1AF591CE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59E75A82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Francisco et al., 2018</w:t>
            </w:r>
          </w:p>
        </w:tc>
      </w:tr>
      <w:tr w:rsidR="00EE135F" w:rsidRPr="00EE135F" w14:paraId="01D5AF21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0AB78FF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:b/>
                <w:bCs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:b/>
                <w:bCs/>
                <w14:ligatures w14:val="none"/>
              </w:rPr>
              <w:t>0.95 (0.03)</w:t>
            </w:r>
            <w:r w:rsidRPr="00EE135F">
              <w:rPr>
                <w:rFonts w:ascii="Times New Roman" w:eastAsia="Aptos" w:hAnsi="Times New Roman" w:cs="Times New Roman"/>
                <w:b/>
                <w:bCs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D4DB1C4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08A991F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6C51311A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proofErr w:type="spellStart"/>
            <w:r w:rsidRPr="00EE135F">
              <w:rPr>
                <w:rFonts w:ascii="Times New Roman" w:eastAsia="Aptos" w:hAnsi="Times New Roman" w:cs="Times New Roman"/>
                <w14:ligatures w14:val="none"/>
              </w:rPr>
              <w:t>Hodel</w:t>
            </w:r>
            <w:proofErr w:type="spellEnd"/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 et al., 2016</w:t>
            </w:r>
          </w:p>
        </w:tc>
      </w:tr>
      <w:tr w:rsidR="00EE135F" w:rsidRPr="00EE135F" w14:paraId="74295E67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DAC420D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-0.11 (0.56)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46EEE5A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3EBAC664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1E59C00C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proofErr w:type="spellStart"/>
            <w:r w:rsidRPr="00EE135F">
              <w:rPr>
                <w:rFonts w:ascii="Times New Roman" w:eastAsia="Aptos" w:hAnsi="Times New Roman" w:cs="Times New Roman"/>
                <w14:ligatures w14:val="none"/>
              </w:rPr>
              <w:t>Hodel</w:t>
            </w:r>
            <w:proofErr w:type="spellEnd"/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 et al., 2017</w:t>
            </w:r>
          </w:p>
        </w:tc>
      </w:tr>
      <w:tr w:rsidR="00EE135F" w:rsidRPr="00EE135F" w14:paraId="43BAE23F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21791A5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0.23 (0.45)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D3B6D71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3BE23D53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7157789C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Kennedy et al., 2016</w:t>
            </w:r>
          </w:p>
        </w:tc>
      </w:tr>
      <w:tr w:rsidR="00EE135F" w:rsidRPr="00EE135F" w14:paraId="0676C602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86622D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-0.17 (0.73)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57149A5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6622E4A1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63A9DC5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Kennedy et al., 2017</w:t>
            </w:r>
          </w:p>
        </w:tc>
      </w:tr>
      <w:tr w:rsidR="00EE135F" w:rsidRPr="00EE135F" w14:paraId="68D8CB68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96EA62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:b/>
                <w:bCs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:b/>
                <w:bCs/>
                <w14:ligatures w14:val="none"/>
              </w:rPr>
              <w:t>0.99 (&lt;10</w:t>
            </w:r>
            <w:r w:rsidRPr="00EE135F">
              <w:rPr>
                <w:rFonts w:ascii="Times New Roman" w:eastAsia="Aptos" w:hAnsi="Times New Roman" w:cs="Times New Roman"/>
                <w:b/>
                <w:bCs/>
                <w:vertAlign w:val="superscript"/>
                <w14:ligatures w14:val="none"/>
              </w:rPr>
              <w:t>-5</w:t>
            </w:r>
            <w:r w:rsidRPr="00EE135F">
              <w:rPr>
                <w:rFonts w:ascii="Times New Roman" w:eastAsia="Aptos" w:hAnsi="Times New Roman" w:cs="Times New Roman"/>
                <w:b/>
                <w:bCs/>
                <w14:ligatures w14:val="none"/>
              </w:rPr>
              <w:t>)</w:t>
            </w:r>
            <w:r w:rsidRPr="00EE135F">
              <w:rPr>
                <w:rFonts w:ascii="Times New Roman" w:eastAsia="Aptos" w:hAnsi="Times New Roman" w:cs="Times New Roman"/>
                <w:b/>
                <w:bCs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9AA7928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7BF6DF4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48E0884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Takayama et al., 2013</w:t>
            </w:r>
            <w:r w:rsidRPr="00EE135F">
              <w:rPr>
                <w:rFonts w:ascii="Times New Roman" w:eastAsia="Aptos" w:hAnsi="Times New Roman" w:cs="Times New Roman"/>
                <w:vertAlign w:val="superscript"/>
                <w14:ligatures w14:val="none"/>
              </w:rPr>
              <w:t>1</w:t>
            </w:r>
          </w:p>
        </w:tc>
      </w:tr>
      <w:tr w:rsidR="00EE135F" w:rsidRPr="00EE135F" w14:paraId="711821BA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00036C9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0.42 (0.14)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342AD57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3000A0CC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Msat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232582D0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Takayama et al., 2013</w:t>
            </w:r>
            <w:r w:rsidRPr="00EE135F">
              <w:rPr>
                <w:rFonts w:ascii="Times New Roman" w:eastAsia="Aptos" w:hAnsi="Times New Roman" w:cs="Times New Roman"/>
                <w:vertAlign w:val="superscript"/>
                <w14:ligatures w14:val="none"/>
              </w:rPr>
              <w:t>2</w:t>
            </w:r>
          </w:p>
        </w:tc>
      </w:tr>
      <w:tr w:rsidR="00EE135F" w:rsidRPr="00EE135F" w14:paraId="26C96CE4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5D2D74E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-0.13 (0.88)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49A9331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790DA00E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SNP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1AC23073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proofErr w:type="spellStart"/>
            <w:r w:rsidRPr="00EE135F">
              <w:rPr>
                <w:rFonts w:ascii="Times New Roman" w:eastAsia="Aptos" w:hAnsi="Times New Roman" w:cs="Times New Roman"/>
                <w14:ligatures w14:val="none"/>
              </w:rPr>
              <w:t>Hodel</w:t>
            </w:r>
            <w:proofErr w:type="spellEnd"/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 et al., 2017</w:t>
            </w:r>
          </w:p>
        </w:tc>
      </w:tr>
      <w:tr w:rsidR="00EE135F" w:rsidRPr="00EE135F" w14:paraId="5F9E7127" w14:textId="77777777" w:rsidTr="00FE6DB9"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8633AC0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0.13 (0.42)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1D19C03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15AE4C6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SNP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270756EC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proofErr w:type="spellStart"/>
            <w:r w:rsidRPr="00EE135F">
              <w:rPr>
                <w:rFonts w:ascii="Times New Roman" w:eastAsia="Aptos" w:hAnsi="Times New Roman" w:cs="Times New Roman"/>
                <w14:ligatures w14:val="none"/>
              </w:rPr>
              <w:t>Hodel</w:t>
            </w:r>
            <w:proofErr w:type="spellEnd"/>
            <w:r w:rsidRPr="00EE135F">
              <w:rPr>
                <w:rFonts w:ascii="Times New Roman" w:eastAsia="Aptos" w:hAnsi="Times New Roman" w:cs="Times New Roman"/>
                <w14:ligatures w14:val="none"/>
              </w:rPr>
              <w:t xml:space="preserve"> et al., 2018</w:t>
            </w:r>
          </w:p>
        </w:tc>
      </w:tr>
      <w:tr w:rsidR="00EE135F" w:rsidRPr="00EE135F" w14:paraId="4EBF569D" w14:textId="77777777" w:rsidTr="00FE6DB9"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67C1B4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-0.25 (0.50)</w:t>
            </w:r>
            <w:r w:rsidRPr="00EE135F">
              <w:rPr>
                <w:rFonts w:ascii="Times New Roman" w:eastAsia="Aptos" w:hAnsi="Times New Roman" w:cs="Times New Roman"/>
                <w14:ligatures w14:val="none"/>
              </w:rPr>
              <w:tab/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7EFCBF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B2E383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SNP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CECDF1" w14:textId="77777777" w:rsidR="00EE135F" w:rsidRPr="00EE135F" w:rsidRDefault="00EE135F" w:rsidP="00EE135F">
            <w:pPr>
              <w:spacing w:after="0" w:line="240" w:lineRule="auto"/>
              <w:rPr>
                <w:rFonts w:ascii="Times New Roman" w:eastAsia="Aptos" w:hAnsi="Times New Roman" w:cs="Times New Roman"/>
                <w14:ligatures w14:val="none"/>
              </w:rPr>
            </w:pPr>
            <w:r w:rsidRPr="00EE135F">
              <w:rPr>
                <w:rFonts w:ascii="Times New Roman" w:eastAsia="Aptos" w:hAnsi="Times New Roman" w:cs="Times New Roman"/>
                <w14:ligatures w14:val="none"/>
              </w:rPr>
              <w:t>Madeira et al., 2023</w:t>
            </w:r>
          </w:p>
        </w:tc>
      </w:tr>
    </w:tbl>
    <w:p w14:paraId="252F078E" w14:textId="1CF63C4B" w:rsidR="00603E3D" w:rsidRPr="00427DFE" w:rsidRDefault="00427DFE" w:rsidP="00427DFE">
      <w:pPr>
        <w:spacing w:before="160"/>
        <w:rPr>
          <w:rFonts w:ascii="Times New Roman" w:hAnsi="Times New Roman" w:cs="Times New Roman"/>
          <w:b/>
          <w:bCs/>
        </w:rPr>
      </w:pPr>
      <w:proofErr w:type="spellStart"/>
      <w:r w:rsidRPr="00427DFE">
        <w:rPr>
          <w:rFonts w:ascii="Times New Roman" w:hAnsi="Times New Roman" w:cs="Times New Roman"/>
          <w:b/>
          <w:bCs/>
        </w:rPr>
        <w:t>References</w:t>
      </w:r>
      <w:proofErr w:type="spellEnd"/>
    </w:p>
    <w:p w14:paraId="798A4FFF" w14:textId="77777777" w:rsidR="00D85560" w:rsidRPr="00AB0EF8" w:rsidRDefault="00D85560" w:rsidP="00D8556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Cisneros‐de la Cruz, D. J., Martínez‐Castillo, J., Herrera‐Silveira, J., Yáñez‐Espinosa, L., Ortiz‐García, M., Us‐Santamaria, R., &amp; Andrade, J. L. (2018). 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Short‐distance barriers affect genetic variability of Rhizophora mangle L. in the Yucatan Peninsula.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Ecology and Evolution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8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(22), 11083–11099. https://doi.org/10.1002/ece3.4575</w:t>
      </w:r>
    </w:p>
    <w:p w14:paraId="0F5B20F1" w14:textId="77777777" w:rsidR="00D85560" w:rsidRPr="00AB0EF8" w:rsidRDefault="00D85560" w:rsidP="00D8556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Cruz, M. V., Mori, G. M., Oh, D. H., Dassanayake, M., Zucchi, M. I., Oliveira, R. S., &amp; Souza, A. P. de. (2020). Molecular responses to freshwater limitation in the 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lastRenderedPageBreak/>
        <w:t xml:space="preserve">mangrove tree Avicennia germinans (Acanthaceae).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Molecular Ecology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29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>(2), 344–362. https://doi.org/10.1111/mec.15330</w:t>
      </w:r>
    </w:p>
    <w:p w14:paraId="029C7393" w14:textId="77777777" w:rsidR="00E347F0" w:rsidRPr="00AB0EF8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Francisco, P. M., Mori, G. M., Alves, F. M., Tambarussi, E. V., &amp; de Souza, A. P. (2018). 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Population genetic structure, introgression, and hybridization in the genus Rhizophora along the Brazilian coast.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Ecology and Evolution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8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(6), 3491–3504. https://doi.org/10.1002/ece3.3900</w:t>
      </w:r>
    </w:p>
    <w:p w14:paraId="1960E461" w14:textId="77777777" w:rsidR="00E347F0" w:rsidRPr="00AB0EF8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Chen, S., Payton, A. C., Mcdaniel, S. F., Soltis, P., &amp; Soltis, D. E. (2017). Adding loci improves phylogeographic resolution in red mangroves despite increased missing data : comparing microsatellites and RAD-Seq and investigating loci filtering.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Scientific Reports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November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, 1–14. https://doi.org/10.1038/s41598-017-16810-7</w:t>
      </w:r>
    </w:p>
    <w:p w14:paraId="35260A32" w14:textId="77777777" w:rsidR="00E347F0" w:rsidRPr="00AB0EF8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De Souza Cortez, M. B., Soltis, P. S., &amp; Soltis, D. E. (2016). Comparative phylogeography of black mangroves (Avicennia germinans) and red mangroves (Rhizophora mangle) in Florida: Testing the maritime discontinuity in coastal plants.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American Journal of Botany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103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(4), 730–739. https://doi.org/10.3732/ajb.1500260</w:t>
      </w:r>
    </w:p>
    <w:p w14:paraId="0F61F968" w14:textId="77777777" w:rsidR="00E347F0" w:rsidRPr="00AB0EF8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Knowles, L. L., McDaniel, S. F., Payton, A. C., Dunaway, J. F., Soltis, P. S., &amp; Soltis, D. E. (2018). Terrestrial species adapted to sea dispersal: Differences in propagule dispersal of two Caribbean mangroves.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27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(22), 4612–4626. https://doi.org/10.1111/mec.14894</w:t>
      </w:r>
    </w:p>
    <w:p w14:paraId="2F6D89FF" w14:textId="77777777" w:rsidR="00F72788" w:rsidRPr="00AB0EF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Garavelli, L., Truelove, N. K., Devlin, D. J., Box, S. J., Ch, L. M., &amp; Feller, I. C. (2017).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Contrasting genetic effects of red mangrove ( Rhizophora mangle L .) range expansion along West and East Florida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. 335–347. https://doi.org/10.1111/jbi.12813</w:t>
      </w:r>
    </w:p>
    <w:p w14:paraId="1853B69C" w14:textId="77777777" w:rsidR="00F72788" w:rsidRPr="00AB0EF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Pil, M. W., Proffi, C. E., Boeger, W. A., Stanford, A. M., &amp; Devlin, D. J. (2016).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Postglacial expansion pathways of red mangrove , Rhizophora mangle , in the Caribbean Basin and Florida 1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103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(2), 260–276. https://doi.org/10.3732/ajb.1500183</w:t>
      </w:r>
    </w:p>
    <w:p w14:paraId="5E913046" w14:textId="77777777" w:rsidR="00F72788" w:rsidRPr="00AB0EF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Preziosi, R. F., Rowntree, J. K., &amp; Feller, I. C. (2020). Is the central-marginal hypothesis a general rule? Evidence from three distributions of an expanding mangrove species, Avicennia germinans (L.) L.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lastRenderedPageBreak/>
        <w:t>29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(4), 704–719. https://doi.org/10.1111/mec.15365</w:t>
      </w:r>
    </w:p>
    <w:p w14:paraId="0823AC09" w14:textId="77777777" w:rsidR="00F72788" w:rsidRPr="00AB0EF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Madeira, A. G., Tsuda, Y., Nagano, Y., Iwasaki, T., Zucchi, M. I., Kajita, T., &amp; Mori, G. M. (2023). 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The role of oceanic currents in the dispersal and connectivity of the mangrove Rhizophora mangle on the Southwest Atlantic region.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 Resources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. https://doi.org/10.1111/1755-0998.13807</w:t>
      </w:r>
    </w:p>
    <w:p w14:paraId="4A6E0958" w14:textId="77777777" w:rsidR="00F72788" w:rsidRPr="00AB0EF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Mori, G. M., Zucchi, M. I., &amp; Souza, A. P. (2015). Multiple-geographic-scale genetic structure of two mangrove tree species: The roles of mating system, hybridization, limited dispersal and extrinsic factors.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PLoS ONE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(2), 1–23. https://doi.org/10.1371/journal.pone.0118710</w:t>
      </w:r>
    </w:p>
    <w:p w14:paraId="149A623B" w14:textId="77777777" w:rsidR="00D83FF8" w:rsidRPr="00AB0EF8" w:rsidRDefault="00D83FF8" w:rsidP="00D83FF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Ochoa-Zavala, M., Jaramillo-Correa, J. P., Piñero, D., Nettel-Hernanz, A., &amp; Núñez-Farfán, J. (2019). Contrasting colonization patterns of black mangrove (Avicennia germinans (L.) L.) gene pools along the Mexican coasts.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Journal of Biogeography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46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(5), 884–898. https://doi.org/10.1111/jbi.13536</w:t>
      </w:r>
    </w:p>
    <w:p w14:paraId="340FED93" w14:textId="2D73D1DA" w:rsidR="00D85560" w:rsidRPr="00AB0EF8" w:rsidRDefault="00CB5D7E" w:rsidP="00427DFE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B0EF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Takayama, K., Tamura, M., Tateishi, Y., Webb, E. L., &amp; Kajita, T. (2013). 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Strong genetic structure over the American continents and transoceanic dispersal in the mangrove genus Rhizophora (Rhizophoraceae) revealed by broad- scale nuclear and chloroplast DNA analysis.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American Journal of Botany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AB0E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100</w:t>
      </w:r>
      <w:r w:rsidRPr="00AB0E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(6), 1191–1201. https://doi.org/10.3732/ajb.1200567</w:t>
      </w:r>
    </w:p>
    <w:sectPr w:rsidR="00D85560" w:rsidRPr="00AB0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2"/>
    <w:rsid w:val="001B486A"/>
    <w:rsid w:val="0036082C"/>
    <w:rsid w:val="004128E2"/>
    <w:rsid w:val="00427DFE"/>
    <w:rsid w:val="0045132D"/>
    <w:rsid w:val="004A139C"/>
    <w:rsid w:val="004C4BC9"/>
    <w:rsid w:val="00603E3D"/>
    <w:rsid w:val="00687D13"/>
    <w:rsid w:val="006B6E06"/>
    <w:rsid w:val="009824F3"/>
    <w:rsid w:val="00A42496"/>
    <w:rsid w:val="00AB0EF8"/>
    <w:rsid w:val="00B50802"/>
    <w:rsid w:val="00CB5D7E"/>
    <w:rsid w:val="00D83FF8"/>
    <w:rsid w:val="00D85560"/>
    <w:rsid w:val="00E347F0"/>
    <w:rsid w:val="00EE135F"/>
    <w:rsid w:val="00F7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373E"/>
  <w15:chartTrackingRefBased/>
  <w15:docId w15:val="{99A19EDC-9E21-476C-B10D-F1E3BB87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817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11</cp:revision>
  <dcterms:created xsi:type="dcterms:W3CDTF">2025-11-12T21:22:00Z</dcterms:created>
  <dcterms:modified xsi:type="dcterms:W3CDTF">2025-11-13T22:00:00Z</dcterms:modified>
</cp:coreProperties>
</file>