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79B40" w14:textId="7623F77A" w:rsidR="00687D13" w:rsidRPr="00687D13" w:rsidRDefault="00687D13" w:rsidP="00687D13">
      <w:pPr>
        <w:keepNext/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340"/>
        <w:jc w:val="both"/>
        <w:rPr>
          <w:rFonts w:ascii="Times New Roman" w:eastAsia="Times New Roman" w:hAnsi="Times New Roman" w:cs="Times New Roman"/>
          <w:color w:val="000000"/>
          <w:kern w:val="0"/>
          <w:lang w:val="en"/>
          <w14:ligatures w14:val="none"/>
        </w:rPr>
      </w:pPr>
      <w:r w:rsidRPr="00687D13">
        <w:rPr>
          <w:rFonts w:ascii="Times New Roman" w:eastAsia="Times New Roman" w:hAnsi="Times New Roman" w:cs="Times New Roman"/>
          <w:b/>
          <w:color w:val="000000"/>
          <w:kern w:val="0"/>
          <w:lang w:val="en"/>
          <w14:ligatures w14:val="none"/>
        </w:rPr>
        <w:t>TABLE 1</w:t>
      </w:r>
      <w:r w:rsidRPr="00687D13">
        <w:rPr>
          <w:rFonts w:ascii="Times New Roman" w:eastAsia="Times New Roman" w:hAnsi="Times New Roman" w:cs="Times New Roman"/>
          <w:color w:val="000000"/>
          <w:kern w:val="0"/>
          <w:lang w:val="en"/>
          <w14:ligatures w14:val="none"/>
        </w:rPr>
        <w:t xml:space="preserve"> Description of datasets. 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Species: 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Avicennia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 xml:space="preserve">germinans </w:t>
      </w:r>
      <w:r w:rsidRPr="00687D13">
        <w:rPr>
          <w:rFonts w:ascii="Times New Roman" w:eastAsia="Times New Roman" w:hAnsi="Times New Roman" w:cs="Times New Roman"/>
          <w:iCs/>
          <w:kern w:val="0"/>
          <w:lang w:val="en"/>
          <w14:ligatures w14:val="none"/>
        </w:rPr>
        <w:t>(Ag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), As (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Avicennia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schaueriana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), Lr (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Laguncularia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racemosa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) and Rm (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Rhizophora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i/>
          <w:kern w:val="0"/>
          <w:lang w:val="en"/>
          <w14:ligatures w14:val="none"/>
        </w:rPr>
        <w:t>mangle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); Molecular marker (M): single nucleotide polymorphism (SNP) or microsatellite (Msat); Number of loci used (NL), Number of individuals used (NI), Number of sampling sites (N), Biogeographic realms (Realm): Tropical Atlantic (TA) and Tropical East Pacific (TEP)</w:t>
      </w:r>
      <w:r w:rsidRPr="00687D13" w:rsidDel="0024139D"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(Spalding et al., 2007) , main countries and/or regions sampled (PR): Bra (Brazil), Car (Caribbean), Flo (Florida, USA), Tex (Texas, USA), Mex (Mexico), Yuc (Yucatan, Mexico), Ho (Western Hemisphere), Sen (Senegal) and the Reference.</w:t>
      </w:r>
      <w:r>
        <w:rPr>
          <w:rFonts w:ascii="Times New Roman" w:eastAsia="Times New Roman" w:hAnsi="Times New Roman" w:cs="Times New Roman"/>
          <w:kern w:val="0"/>
          <w:lang w:val="en"/>
          <w14:ligatures w14:val="none"/>
        </w:rPr>
        <w:t xml:space="preserve"> </w:t>
      </w:r>
      <w:r w:rsidRPr="00687D13">
        <w:rPr>
          <w:rFonts w:ascii="Times New Roman" w:eastAsia="Times New Roman" w:hAnsi="Times New Roman" w:cs="Times New Roman"/>
          <w:kern w:val="0"/>
          <w:lang w:val="en"/>
          <w14:ligatures w14:val="none"/>
        </w:rPr>
        <w:t>*Separate datasets for Atlantic and Pacific Ocean basins</w:t>
      </w:r>
    </w:p>
    <w:tbl>
      <w:tblPr>
        <w:tblW w:w="9165" w:type="dxa"/>
        <w:tblInd w:w="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69"/>
        <w:gridCol w:w="737"/>
        <w:gridCol w:w="804"/>
        <w:gridCol w:w="803"/>
        <w:gridCol w:w="473"/>
        <w:gridCol w:w="1010"/>
        <w:gridCol w:w="1559"/>
        <w:gridCol w:w="2910"/>
      </w:tblGrid>
      <w:tr w:rsidR="00687D13" w:rsidRPr="00687D13" w14:paraId="1FABAE29" w14:textId="77777777" w:rsidTr="00F83258">
        <w:trPr>
          <w:trHeight w:val="220"/>
        </w:trPr>
        <w:tc>
          <w:tcPr>
            <w:tcW w:w="869" w:type="dxa"/>
            <w:tcBorders>
              <w:top w:val="single" w:sz="4" w:space="0" w:color="000000"/>
            </w:tcBorders>
          </w:tcPr>
          <w:p w14:paraId="448BD2F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Species</w:t>
            </w:r>
          </w:p>
        </w:tc>
        <w:tc>
          <w:tcPr>
            <w:tcW w:w="737" w:type="dxa"/>
            <w:tcBorders>
              <w:top w:val="single" w:sz="4" w:space="0" w:color="000000"/>
            </w:tcBorders>
          </w:tcPr>
          <w:p w14:paraId="4329637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</w:t>
            </w:r>
          </w:p>
        </w:tc>
        <w:tc>
          <w:tcPr>
            <w:tcW w:w="804" w:type="dxa"/>
            <w:tcBorders>
              <w:top w:val="single" w:sz="4" w:space="0" w:color="000000"/>
            </w:tcBorders>
          </w:tcPr>
          <w:p w14:paraId="25D8966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NL</w:t>
            </w:r>
          </w:p>
        </w:tc>
        <w:tc>
          <w:tcPr>
            <w:tcW w:w="803" w:type="dxa"/>
            <w:tcBorders>
              <w:top w:val="single" w:sz="4" w:space="0" w:color="000000"/>
            </w:tcBorders>
          </w:tcPr>
          <w:p w14:paraId="010DE72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NI</w:t>
            </w:r>
          </w:p>
        </w:tc>
        <w:tc>
          <w:tcPr>
            <w:tcW w:w="473" w:type="dxa"/>
            <w:tcBorders>
              <w:top w:val="single" w:sz="4" w:space="0" w:color="000000"/>
            </w:tcBorders>
          </w:tcPr>
          <w:p w14:paraId="0D69637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N</w:t>
            </w:r>
          </w:p>
        </w:tc>
        <w:tc>
          <w:tcPr>
            <w:tcW w:w="1010" w:type="dxa"/>
            <w:tcBorders>
              <w:top w:val="single" w:sz="4" w:space="0" w:color="000000"/>
            </w:tcBorders>
          </w:tcPr>
          <w:p w14:paraId="1F198AB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Realm</w:t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31EBACE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PR</w:t>
            </w:r>
          </w:p>
        </w:tc>
        <w:tc>
          <w:tcPr>
            <w:tcW w:w="2910" w:type="dxa"/>
            <w:tcBorders>
              <w:top w:val="single" w:sz="4" w:space="0" w:color="000000"/>
            </w:tcBorders>
          </w:tcPr>
          <w:p w14:paraId="39557D1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References</w:t>
            </w:r>
          </w:p>
        </w:tc>
      </w:tr>
      <w:tr w:rsidR="00687D13" w:rsidRPr="00687D13" w14:paraId="14497E10" w14:textId="77777777" w:rsidTr="00F83258">
        <w:trPr>
          <w:trHeight w:val="220"/>
        </w:trPr>
        <w:tc>
          <w:tcPr>
            <w:tcW w:w="869" w:type="dxa"/>
            <w:tcBorders>
              <w:top w:val="single" w:sz="4" w:space="0" w:color="000000"/>
            </w:tcBorders>
          </w:tcPr>
          <w:p w14:paraId="184526E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737" w:type="dxa"/>
            <w:tcBorders>
              <w:top w:val="single" w:sz="4" w:space="0" w:color="000000"/>
            </w:tcBorders>
          </w:tcPr>
          <w:p w14:paraId="2FF119E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  <w:tcBorders>
              <w:top w:val="single" w:sz="4" w:space="0" w:color="000000"/>
            </w:tcBorders>
          </w:tcPr>
          <w:p w14:paraId="4F7B3AB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2260</w:t>
            </w:r>
          </w:p>
        </w:tc>
        <w:tc>
          <w:tcPr>
            <w:tcW w:w="803" w:type="dxa"/>
            <w:tcBorders>
              <w:top w:val="single" w:sz="4" w:space="0" w:color="000000"/>
            </w:tcBorders>
          </w:tcPr>
          <w:p w14:paraId="45882DC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48</w:t>
            </w:r>
          </w:p>
        </w:tc>
        <w:tc>
          <w:tcPr>
            <w:tcW w:w="473" w:type="dxa"/>
            <w:tcBorders>
              <w:top w:val="single" w:sz="4" w:space="0" w:color="000000"/>
            </w:tcBorders>
          </w:tcPr>
          <w:p w14:paraId="14505CE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6</w:t>
            </w:r>
          </w:p>
        </w:tc>
        <w:tc>
          <w:tcPr>
            <w:tcW w:w="1010" w:type="dxa"/>
            <w:tcBorders>
              <w:top w:val="single" w:sz="4" w:space="0" w:color="000000"/>
            </w:tcBorders>
          </w:tcPr>
          <w:p w14:paraId="6A097D5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  <w:tcBorders>
              <w:top w:val="single" w:sz="4" w:space="0" w:color="000000"/>
            </w:tcBorders>
          </w:tcPr>
          <w:p w14:paraId="091B120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</w:t>
            </w:r>
          </w:p>
        </w:tc>
        <w:tc>
          <w:tcPr>
            <w:tcW w:w="2910" w:type="dxa"/>
            <w:tcBorders>
              <w:top w:val="single" w:sz="4" w:space="0" w:color="000000"/>
            </w:tcBorders>
          </w:tcPr>
          <w:p w14:paraId="6E8F8E0D" w14:textId="31C62903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Cruz et al., 2020</w:t>
            </w:r>
          </w:p>
        </w:tc>
      </w:tr>
      <w:tr w:rsidR="00687D13" w:rsidRPr="00687D13" w14:paraId="5609B6D7" w14:textId="77777777" w:rsidTr="00F83258">
        <w:trPr>
          <w:trHeight w:val="220"/>
        </w:trPr>
        <w:tc>
          <w:tcPr>
            <w:tcW w:w="869" w:type="dxa"/>
          </w:tcPr>
          <w:p w14:paraId="6275F0A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737" w:type="dxa"/>
          </w:tcPr>
          <w:p w14:paraId="619ECD8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2440769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</w:t>
            </w:r>
          </w:p>
        </w:tc>
        <w:tc>
          <w:tcPr>
            <w:tcW w:w="803" w:type="dxa"/>
          </w:tcPr>
          <w:p w14:paraId="5813171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150</w:t>
            </w:r>
          </w:p>
        </w:tc>
        <w:tc>
          <w:tcPr>
            <w:tcW w:w="473" w:type="dxa"/>
          </w:tcPr>
          <w:p w14:paraId="6F698DB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15</w:t>
            </w:r>
          </w:p>
        </w:tc>
        <w:tc>
          <w:tcPr>
            <w:tcW w:w="1010" w:type="dxa"/>
          </w:tcPr>
          <w:p w14:paraId="3F6EA6C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13021A7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</w:t>
            </w:r>
          </w:p>
        </w:tc>
        <w:tc>
          <w:tcPr>
            <w:tcW w:w="2910" w:type="dxa"/>
          </w:tcPr>
          <w:p w14:paraId="52BDCA60" w14:textId="5FA6EEF3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Hodel et al., 2016</w:t>
            </w:r>
          </w:p>
        </w:tc>
      </w:tr>
      <w:tr w:rsidR="00687D13" w:rsidRPr="00687D13" w14:paraId="09EAF6F4" w14:textId="77777777" w:rsidTr="00F83258">
        <w:trPr>
          <w:trHeight w:val="220"/>
        </w:trPr>
        <w:tc>
          <w:tcPr>
            <w:tcW w:w="869" w:type="dxa"/>
          </w:tcPr>
          <w:p w14:paraId="4DB83A8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737" w:type="dxa"/>
          </w:tcPr>
          <w:p w14:paraId="2FA9765A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132E2E7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12</w:t>
            </w:r>
          </w:p>
        </w:tc>
        <w:tc>
          <w:tcPr>
            <w:tcW w:w="803" w:type="dxa"/>
          </w:tcPr>
          <w:p w14:paraId="6DB967EA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1083</w:t>
            </w:r>
          </w:p>
        </w:tc>
        <w:tc>
          <w:tcPr>
            <w:tcW w:w="473" w:type="dxa"/>
          </w:tcPr>
          <w:p w14:paraId="7CD4704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41</w:t>
            </w:r>
          </w:p>
        </w:tc>
        <w:tc>
          <w:tcPr>
            <w:tcW w:w="1010" w:type="dxa"/>
          </w:tcPr>
          <w:p w14:paraId="7CE4E9D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74EC2CB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Flo, Tex</w:t>
            </w:r>
          </w:p>
        </w:tc>
        <w:tc>
          <w:tcPr>
            <w:tcW w:w="2910" w:type="dxa"/>
          </w:tcPr>
          <w:p w14:paraId="237CE85D" w14:textId="3A900C20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Kennedy et al., 2020</w:t>
            </w:r>
          </w:p>
        </w:tc>
      </w:tr>
      <w:tr w:rsidR="00687D13" w:rsidRPr="00687D13" w14:paraId="5494968E" w14:textId="77777777" w:rsidTr="00F83258">
        <w:trPr>
          <w:trHeight w:val="220"/>
        </w:trPr>
        <w:tc>
          <w:tcPr>
            <w:tcW w:w="869" w:type="dxa"/>
          </w:tcPr>
          <w:p w14:paraId="1610A6D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737" w:type="dxa"/>
          </w:tcPr>
          <w:p w14:paraId="17DD426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1E4A0B8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22</w:t>
            </w:r>
          </w:p>
        </w:tc>
        <w:tc>
          <w:tcPr>
            <w:tcW w:w="803" w:type="dxa"/>
          </w:tcPr>
          <w:p w14:paraId="19A992F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181</w:t>
            </w:r>
          </w:p>
        </w:tc>
        <w:tc>
          <w:tcPr>
            <w:tcW w:w="473" w:type="dxa"/>
          </w:tcPr>
          <w:p w14:paraId="1977BB7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</w:t>
            </w:r>
          </w:p>
        </w:tc>
        <w:tc>
          <w:tcPr>
            <w:tcW w:w="1010" w:type="dxa"/>
          </w:tcPr>
          <w:p w14:paraId="215E89E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42DC86E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</w:t>
            </w:r>
          </w:p>
        </w:tc>
        <w:tc>
          <w:tcPr>
            <w:tcW w:w="2910" w:type="dxa"/>
          </w:tcPr>
          <w:p w14:paraId="21304A06" w14:textId="559F338D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Mori et al., 2015</w:t>
            </w:r>
          </w:p>
        </w:tc>
      </w:tr>
      <w:tr w:rsidR="00687D13" w:rsidRPr="00687D13" w14:paraId="637E3461" w14:textId="77777777" w:rsidTr="00F83258">
        <w:trPr>
          <w:trHeight w:val="220"/>
        </w:trPr>
        <w:tc>
          <w:tcPr>
            <w:tcW w:w="869" w:type="dxa"/>
          </w:tcPr>
          <w:p w14:paraId="63609F4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Ag</w:t>
            </w:r>
          </w:p>
        </w:tc>
        <w:tc>
          <w:tcPr>
            <w:tcW w:w="737" w:type="dxa"/>
          </w:tcPr>
          <w:p w14:paraId="0CCB2A8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692B5EA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</w:t>
            </w:r>
          </w:p>
        </w:tc>
        <w:tc>
          <w:tcPr>
            <w:tcW w:w="803" w:type="dxa"/>
          </w:tcPr>
          <w:p w14:paraId="3FDBE05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544</w:t>
            </w:r>
          </w:p>
        </w:tc>
        <w:tc>
          <w:tcPr>
            <w:tcW w:w="473" w:type="dxa"/>
          </w:tcPr>
          <w:p w14:paraId="7139A2F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14</w:t>
            </w:r>
          </w:p>
        </w:tc>
        <w:tc>
          <w:tcPr>
            <w:tcW w:w="1010" w:type="dxa"/>
          </w:tcPr>
          <w:p w14:paraId="4B2D131A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TA, TEP</w:t>
            </w:r>
          </w:p>
        </w:tc>
        <w:tc>
          <w:tcPr>
            <w:tcW w:w="1559" w:type="dxa"/>
          </w:tcPr>
          <w:p w14:paraId="1B42A99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Mex</w:t>
            </w:r>
          </w:p>
        </w:tc>
        <w:tc>
          <w:tcPr>
            <w:tcW w:w="2910" w:type="dxa"/>
          </w:tcPr>
          <w:p w14:paraId="67708A80" w14:textId="549C4C3C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Ochoa-Zavala et al., 2019</w:t>
            </w:r>
            <w:r w:rsidRPr="00B50802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*</w:t>
            </w:r>
          </w:p>
        </w:tc>
      </w:tr>
      <w:tr w:rsidR="00687D13" w:rsidRPr="00687D13" w14:paraId="5DFB7104" w14:textId="77777777" w:rsidTr="00F83258">
        <w:trPr>
          <w:trHeight w:val="220"/>
        </w:trPr>
        <w:tc>
          <w:tcPr>
            <w:tcW w:w="869" w:type="dxa"/>
          </w:tcPr>
          <w:p w14:paraId="7BAC4BF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As</w:t>
            </w:r>
          </w:p>
        </w:tc>
        <w:tc>
          <w:tcPr>
            <w:tcW w:w="737" w:type="dxa"/>
          </w:tcPr>
          <w:p w14:paraId="1BEA738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</w:tcPr>
          <w:p w14:paraId="0C5F028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826</w:t>
            </w:r>
          </w:p>
        </w:tc>
        <w:tc>
          <w:tcPr>
            <w:tcW w:w="803" w:type="dxa"/>
          </w:tcPr>
          <w:p w14:paraId="33F17C0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77</w:t>
            </w:r>
          </w:p>
        </w:tc>
        <w:tc>
          <w:tcPr>
            <w:tcW w:w="473" w:type="dxa"/>
          </w:tcPr>
          <w:p w14:paraId="52307AE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</w:t>
            </w:r>
          </w:p>
        </w:tc>
        <w:tc>
          <w:tcPr>
            <w:tcW w:w="1010" w:type="dxa"/>
          </w:tcPr>
          <w:p w14:paraId="28E7BFA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5DAFDA9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</w:t>
            </w:r>
          </w:p>
        </w:tc>
        <w:tc>
          <w:tcPr>
            <w:tcW w:w="2910" w:type="dxa"/>
          </w:tcPr>
          <w:p w14:paraId="3E6258F4" w14:textId="5593147E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Cruz et al., 2019</w:t>
            </w:r>
          </w:p>
        </w:tc>
      </w:tr>
      <w:tr w:rsidR="00687D13" w:rsidRPr="00687D13" w14:paraId="53D979DD" w14:textId="77777777" w:rsidTr="00F83258">
        <w:trPr>
          <w:trHeight w:val="220"/>
        </w:trPr>
        <w:tc>
          <w:tcPr>
            <w:tcW w:w="869" w:type="dxa"/>
          </w:tcPr>
          <w:p w14:paraId="122B814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As</w:t>
            </w:r>
          </w:p>
        </w:tc>
        <w:tc>
          <w:tcPr>
            <w:tcW w:w="737" w:type="dxa"/>
          </w:tcPr>
          <w:p w14:paraId="2A0AED3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003C075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17</w:t>
            </w:r>
          </w:p>
        </w:tc>
        <w:tc>
          <w:tcPr>
            <w:tcW w:w="803" w:type="dxa"/>
          </w:tcPr>
          <w:p w14:paraId="19F267B4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400</w:t>
            </w:r>
          </w:p>
        </w:tc>
        <w:tc>
          <w:tcPr>
            <w:tcW w:w="473" w:type="dxa"/>
          </w:tcPr>
          <w:p w14:paraId="038128B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11</w:t>
            </w:r>
          </w:p>
        </w:tc>
        <w:tc>
          <w:tcPr>
            <w:tcW w:w="1010" w:type="dxa"/>
          </w:tcPr>
          <w:p w14:paraId="0D04429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777B70C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</w:t>
            </w:r>
          </w:p>
        </w:tc>
        <w:tc>
          <w:tcPr>
            <w:tcW w:w="2910" w:type="dxa"/>
          </w:tcPr>
          <w:p w14:paraId="55A27118" w14:textId="5F44295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Mori et al., 2015</w:t>
            </w:r>
          </w:p>
        </w:tc>
      </w:tr>
      <w:tr w:rsidR="00687D13" w:rsidRPr="00687D13" w14:paraId="1B32D15F" w14:textId="77777777" w:rsidTr="00F83258">
        <w:trPr>
          <w:trHeight w:val="220"/>
        </w:trPr>
        <w:tc>
          <w:tcPr>
            <w:tcW w:w="869" w:type="dxa"/>
          </w:tcPr>
          <w:p w14:paraId="5924EC7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Lr</w:t>
            </w:r>
          </w:p>
        </w:tc>
        <w:tc>
          <w:tcPr>
            <w:tcW w:w="737" w:type="dxa"/>
          </w:tcPr>
          <w:p w14:paraId="788FD77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</w:tcPr>
          <w:p w14:paraId="4149A1F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1072</w:t>
            </w:r>
          </w:p>
        </w:tc>
        <w:tc>
          <w:tcPr>
            <w:tcW w:w="803" w:type="dxa"/>
          </w:tcPr>
          <w:p w14:paraId="40D80B6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40</w:t>
            </w:r>
          </w:p>
        </w:tc>
        <w:tc>
          <w:tcPr>
            <w:tcW w:w="473" w:type="dxa"/>
          </w:tcPr>
          <w:p w14:paraId="3B3A3381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14</w:t>
            </w:r>
          </w:p>
        </w:tc>
        <w:tc>
          <w:tcPr>
            <w:tcW w:w="1010" w:type="dxa"/>
          </w:tcPr>
          <w:p w14:paraId="42D6A17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3EFD6EF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Car, Mex, Sen</w:t>
            </w:r>
          </w:p>
        </w:tc>
        <w:tc>
          <w:tcPr>
            <w:tcW w:w="2910" w:type="dxa"/>
          </w:tcPr>
          <w:p w14:paraId="1B976CBA" w14:textId="05395E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Hodel et al., 2018</w:t>
            </w:r>
          </w:p>
        </w:tc>
      </w:tr>
      <w:tr w:rsidR="00687D13" w:rsidRPr="00687D13" w14:paraId="52FE5046" w14:textId="77777777" w:rsidTr="00F83258">
        <w:trPr>
          <w:trHeight w:val="220"/>
        </w:trPr>
        <w:tc>
          <w:tcPr>
            <w:tcW w:w="869" w:type="dxa"/>
          </w:tcPr>
          <w:p w14:paraId="0796ED0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Lr</w:t>
            </w:r>
          </w:p>
        </w:tc>
        <w:tc>
          <w:tcPr>
            <w:tcW w:w="737" w:type="dxa"/>
          </w:tcPr>
          <w:p w14:paraId="440FCBE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2D0E5D1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</w:t>
            </w:r>
          </w:p>
        </w:tc>
        <w:tc>
          <w:tcPr>
            <w:tcW w:w="803" w:type="dxa"/>
          </w:tcPr>
          <w:p w14:paraId="1B173FF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102</w:t>
            </w:r>
          </w:p>
        </w:tc>
        <w:tc>
          <w:tcPr>
            <w:tcW w:w="473" w:type="dxa"/>
          </w:tcPr>
          <w:p w14:paraId="65FC8D3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</w:t>
            </w:r>
          </w:p>
        </w:tc>
        <w:tc>
          <w:tcPr>
            <w:tcW w:w="1010" w:type="dxa"/>
          </w:tcPr>
          <w:p w14:paraId="24C2453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4BE5CE0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Bra, Car, Flo</w:t>
            </w:r>
          </w:p>
        </w:tc>
        <w:tc>
          <w:tcPr>
            <w:tcW w:w="2910" w:type="dxa"/>
          </w:tcPr>
          <w:p w14:paraId="4A1CEEB4" w14:textId="11900212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Sereneski-Lima et al., 2021</w:t>
            </w:r>
          </w:p>
        </w:tc>
      </w:tr>
      <w:tr w:rsidR="00687D13" w:rsidRPr="00687D13" w14:paraId="200B5802" w14:textId="77777777" w:rsidTr="00F83258">
        <w:trPr>
          <w:trHeight w:val="220"/>
        </w:trPr>
        <w:tc>
          <w:tcPr>
            <w:tcW w:w="869" w:type="dxa"/>
          </w:tcPr>
          <w:p w14:paraId="015A61F4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036C7CE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740134D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</w:t>
            </w:r>
          </w:p>
        </w:tc>
        <w:tc>
          <w:tcPr>
            <w:tcW w:w="803" w:type="dxa"/>
          </w:tcPr>
          <w:p w14:paraId="6D53F50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50</w:t>
            </w:r>
          </w:p>
        </w:tc>
        <w:tc>
          <w:tcPr>
            <w:tcW w:w="473" w:type="dxa"/>
          </w:tcPr>
          <w:p w14:paraId="48ECB41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5</w:t>
            </w:r>
          </w:p>
        </w:tc>
        <w:tc>
          <w:tcPr>
            <w:tcW w:w="1010" w:type="dxa"/>
          </w:tcPr>
          <w:p w14:paraId="3BC58B0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24737FF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Yuc</w:t>
            </w:r>
          </w:p>
        </w:tc>
        <w:tc>
          <w:tcPr>
            <w:tcW w:w="2910" w:type="dxa"/>
          </w:tcPr>
          <w:p w14:paraId="7E01A45C" w14:textId="5301835D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Cisneros‐de la Cruz et al., 2018</w:t>
            </w:r>
          </w:p>
        </w:tc>
      </w:tr>
      <w:tr w:rsidR="00687D13" w:rsidRPr="00687D13" w14:paraId="6932F4BB" w14:textId="77777777" w:rsidTr="00F83258">
        <w:trPr>
          <w:trHeight w:val="220"/>
        </w:trPr>
        <w:tc>
          <w:tcPr>
            <w:tcW w:w="869" w:type="dxa"/>
          </w:tcPr>
          <w:p w14:paraId="6E3BFE7E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0E9F29B4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0B0F90A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803" w:type="dxa"/>
          </w:tcPr>
          <w:p w14:paraId="6F2DC56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318</w:t>
            </w:r>
          </w:p>
        </w:tc>
        <w:tc>
          <w:tcPr>
            <w:tcW w:w="473" w:type="dxa"/>
          </w:tcPr>
          <w:p w14:paraId="49FA5BE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1010" w:type="dxa"/>
          </w:tcPr>
          <w:p w14:paraId="24A581C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7C7020E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</w:t>
            </w:r>
          </w:p>
        </w:tc>
        <w:tc>
          <w:tcPr>
            <w:tcW w:w="2910" w:type="dxa"/>
          </w:tcPr>
          <w:p w14:paraId="74AB42EA" w14:textId="77BBC7D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Francisco et al., 2018</w:t>
            </w:r>
          </w:p>
        </w:tc>
      </w:tr>
      <w:tr w:rsidR="00687D13" w:rsidRPr="00687D13" w14:paraId="574E2538" w14:textId="77777777" w:rsidTr="00F83258">
        <w:trPr>
          <w:trHeight w:val="220"/>
        </w:trPr>
        <w:tc>
          <w:tcPr>
            <w:tcW w:w="869" w:type="dxa"/>
          </w:tcPr>
          <w:p w14:paraId="62E38F2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4EF800F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1B4910B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</w:t>
            </w:r>
          </w:p>
        </w:tc>
        <w:tc>
          <w:tcPr>
            <w:tcW w:w="803" w:type="dxa"/>
          </w:tcPr>
          <w:p w14:paraId="5D131D4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150</w:t>
            </w:r>
          </w:p>
        </w:tc>
        <w:tc>
          <w:tcPr>
            <w:tcW w:w="473" w:type="dxa"/>
          </w:tcPr>
          <w:p w14:paraId="41576D6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15</w:t>
            </w:r>
          </w:p>
        </w:tc>
        <w:tc>
          <w:tcPr>
            <w:tcW w:w="1010" w:type="dxa"/>
          </w:tcPr>
          <w:p w14:paraId="520E151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014BDE1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</w:t>
            </w:r>
          </w:p>
        </w:tc>
        <w:tc>
          <w:tcPr>
            <w:tcW w:w="2910" w:type="dxa"/>
          </w:tcPr>
          <w:p w14:paraId="5692C2F5" w14:textId="4EE8372B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2016</w:t>
            </w:r>
          </w:p>
        </w:tc>
      </w:tr>
      <w:tr w:rsidR="00687D13" w:rsidRPr="00687D13" w14:paraId="734021D8" w14:textId="77777777" w:rsidTr="00F83258">
        <w:trPr>
          <w:trHeight w:val="220"/>
        </w:trPr>
        <w:tc>
          <w:tcPr>
            <w:tcW w:w="869" w:type="dxa"/>
          </w:tcPr>
          <w:p w14:paraId="6BF6B014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71CDEE31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</w:tcPr>
          <w:p w14:paraId="0437C29E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1953</w:t>
            </w:r>
          </w:p>
        </w:tc>
        <w:tc>
          <w:tcPr>
            <w:tcW w:w="803" w:type="dxa"/>
          </w:tcPr>
          <w:p w14:paraId="6A31E1C4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85</w:t>
            </w:r>
          </w:p>
        </w:tc>
        <w:tc>
          <w:tcPr>
            <w:tcW w:w="473" w:type="dxa"/>
          </w:tcPr>
          <w:p w14:paraId="16AF092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12</w:t>
            </w:r>
          </w:p>
        </w:tc>
        <w:tc>
          <w:tcPr>
            <w:tcW w:w="1010" w:type="dxa"/>
          </w:tcPr>
          <w:p w14:paraId="53FED4B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723254A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</w:t>
            </w:r>
          </w:p>
        </w:tc>
        <w:tc>
          <w:tcPr>
            <w:tcW w:w="2910" w:type="dxa"/>
          </w:tcPr>
          <w:p w14:paraId="0FE58586" w14:textId="3DE5DAE2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Hodel et al., 2017</w:t>
            </w:r>
          </w:p>
        </w:tc>
      </w:tr>
      <w:tr w:rsidR="00687D13" w:rsidRPr="00687D13" w14:paraId="2EDF1E5B" w14:textId="77777777" w:rsidTr="00F83258">
        <w:trPr>
          <w:trHeight w:val="220"/>
        </w:trPr>
        <w:tc>
          <w:tcPr>
            <w:tcW w:w="869" w:type="dxa"/>
          </w:tcPr>
          <w:p w14:paraId="7E5F563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2A7AD0C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44A710B8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</w:t>
            </w:r>
          </w:p>
        </w:tc>
        <w:tc>
          <w:tcPr>
            <w:tcW w:w="803" w:type="dxa"/>
          </w:tcPr>
          <w:p w14:paraId="58393AC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96</w:t>
            </w:r>
          </w:p>
        </w:tc>
        <w:tc>
          <w:tcPr>
            <w:tcW w:w="473" w:type="dxa"/>
          </w:tcPr>
          <w:p w14:paraId="2691FA7B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12</w:t>
            </w:r>
          </w:p>
        </w:tc>
        <w:tc>
          <w:tcPr>
            <w:tcW w:w="1010" w:type="dxa"/>
          </w:tcPr>
          <w:p w14:paraId="49430E0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2C7D4DF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</w:t>
            </w:r>
          </w:p>
        </w:tc>
        <w:tc>
          <w:tcPr>
            <w:tcW w:w="2910" w:type="dxa"/>
          </w:tcPr>
          <w:p w14:paraId="5E243A58" w14:textId="59C96AB9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2017</w:t>
            </w:r>
          </w:p>
        </w:tc>
      </w:tr>
      <w:tr w:rsidR="00687D13" w:rsidRPr="00687D13" w14:paraId="70E7F8E9" w14:textId="77777777" w:rsidTr="00F83258">
        <w:trPr>
          <w:trHeight w:val="220"/>
        </w:trPr>
        <w:tc>
          <w:tcPr>
            <w:tcW w:w="869" w:type="dxa"/>
          </w:tcPr>
          <w:p w14:paraId="409C6179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4A5445A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</w:tcPr>
          <w:p w14:paraId="1E02258A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10201</w:t>
            </w:r>
          </w:p>
        </w:tc>
        <w:tc>
          <w:tcPr>
            <w:tcW w:w="803" w:type="dxa"/>
          </w:tcPr>
          <w:p w14:paraId="5366E63D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116</w:t>
            </w:r>
          </w:p>
        </w:tc>
        <w:tc>
          <w:tcPr>
            <w:tcW w:w="473" w:type="dxa"/>
          </w:tcPr>
          <w:p w14:paraId="2D9B9A7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28</w:t>
            </w:r>
          </w:p>
        </w:tc>
        <w:tc>
          <w:tcPr>
            <w:tcW w:w="1010" w:type="dxa"/>
          </w:tcPr>
          <w:p w14:paraId="458174B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TA, TEP</w:t>
            </w:r>
          </w:p>
        </w:tc>
        <w:tc>
          <w:tcPr>
            <w:tcW w:w="1559" w:type="dxa"/>
          </w:tcPr>
          <w:p w14:paraId="12674DC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Bra, Car, Mex</w:t>
            </w:r>
          </w:p>
        </w:tc>
        <w:tc>
          <w:tcPr>
            <w:tcW w:w="2910" w:type="dxa"/>
          </w:tcPr>
          <w:p w14:paraId="201F6EBD" w14:textId="4AEC920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Hodel et al., 2018</w:t>
            </w:r>
          </w:p>
        </w:tc>
      </w:tr>
      <w:tr w:rsidR="00687D13" w:rsidRPr="00687D13" w14:paraId="0D044DFE" w14:textId="77777777" w:rsidTr="00F83258">
        <w:trPr>
          <w:trHeight w:val="220"/>
        </w:trPr>
        <w:tc>
          <w:tcPr>
            <w:tcW w:w="869" w:type="dxa"/>
          </w:tcPr>
          <w:p w14:paraId="0E4501F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0868922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2EBAE77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6</w:t>
            </w:r>
          </w:p>
        </w:tc>
        <w:tc>
          <w:tcPr>
            <w:tcW w:w="803" w:type="dxa"/>
          </w:tcPr>
          <w:p w14:paraId="534D794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237</w:t>
            </w:r>
          </w:p>
        </w:tc>
        <w:tc>
          <w:tcPr>
            <w:tcW w:w="473" w:type="dxa"/>
          </w:tcPr>
          <w:p w14:paraId="5E3328A2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9</w:t>
            </w:r>
          </w:p>
        </w:tc>
        <w:tc>
          <w:tcPr>
            <w:tcW w:w="1010" w:type="dxa"/>
          </w:tcPr>
          <w:p w14:paraId="6BAAA86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0D0AE07E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Car, Flo, Sen</w:t>
            </w:r>
          </w:p>
        </w:tc>
        <w:tc>
          <w:tcPr>
            <w:tcW w:w="2910" w:type="dxa"/>
          </w:tcPr>
          <w:p w14:paraId="7553056E" w14:textId="66900B65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Kennedy et al., 2016</w:t>
            </w:r>
          </w:p>
        </w:tc>
      </w:tr>
      <w:tr w:rsidR="00687D13" w:rsidRPr="00687D13" w14:paraId="55F85785" w14:textId="77777777" w:rsidTr="00F83258">
        <w:trPr>
          <w:trHeight w:val="220"/>
        </w:trPr>
        <w:tc>
          <w:tcPr>
            <w:tcW w:w="869" w:type="dxa"/>
          </w:tcPr>
          <w:p w14:paraId="7930B4A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5C8F7163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</w:tcPr>
          <w:p w14:paraId="05FDD39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</w:t>
            </w:r>
          </w:p>
        </w:tc>
        <w:tc>
          <w:tcPr>
            <w:tcW w:w="803" w:type="dxa"/>
          </w:tcPr>
          <w:p w14:paraId="75AAD531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240</w:t>
            </w:r>
          </w:p>
        </w:tc>
        <w:tc>
          <w:tcPr>
            <w:tcW w:w="473" w:type="dxa"/>
          </w:tcPr>
          <w:p w14:paraId="35C19F61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8</w:t>
            </w:r>
          </w:p>
        </w:tc>
        <w:tc>
          <w:tcPr>
            <w:tcW w:w="1010" w:type="dxa"/>
          </w:tcPr>
          <w:p w14:paraId="600C195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4B34F4EC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Flo</w:t>
            </w:r>
          </w:p>
        </w:tc>
        <w:tc>
          <w:tcPr>
            <w:tcW w:w="2910" w:type="dxa"/>
          </w:tcPr>
          <w:p w14:paraId="49A4E52A" w14:textId="33DF348E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Kennedy et al., 2017</w:t>
            </w:r>
          </w:p>
        </w:tc>
      </w:tr>
      <w:tr w:rsidR="00687D13" w:rsidRPr="00687D13" w14:paraId="1BA263EB" w14:textId="77777777" w:rsidTr="00F83258">
        <w:trPr>
          <w:trHeight w:val="220"/>
        </w:trPr>
        <w:tc>
          <w:tcPr>
            <w:tcW w:w="869" w:type="dxa"/>
          </w:tcPr>
          <w:p w14:paraId="33426C4C" w14:textId="483FE4A5" w:rsidR="00687D13" w:rsidRPr="00687D13" w:rsidRDefault="00AD5A26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</w:tcPr>
          <w:p w14:paraId="1641776E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SNP</w:t>
            </w:r>
          </w:p>
        </w:tc>
        <w:tc>
          <w:tcPr>
            <w:tcW w:w="804" w:type="dxa"/>
          </w:tcPr>
          <w:p w14:paraId="688F65F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4376</w:t>
            </w:r>
          </w:p>
        </w:tc>
        <w:tc>
          <w:tcPr>
            <w:tcW w:w="803" w:type="dxa"/>
          </w:tcPr>
          <w:p w14:paraId="6046A41E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78</w:t>
            </w:r>
          </w:p>
        </w:tc>
        <w:tc>
          <w:tcPr>
            <w:tcW w:w="473" w:type="dxa"/>
          </w:tcPr>
          <w:p w14:paraId="1112FD6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11</w:t>
            </w:r>
          </w:p>
        </w:tc>
        <w:tc>
          <w:tcPr>
            <w:tcW w:w="1010" w:type="dxa"/>
          </w:tcPr>
          <w:p w14:paraId="208F03A0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</w:t>
            </w:r>
          </w:p>
        </w:tc>
        <w:tc>
          <w:tcPr>
            <w:tcW w:w="1559" w:type="dxa"/>
          </w:tcPr>
          <w:p w14:paraId="298AC9F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Bra</w:t>
            </w:r>
          </w:p>
        </w:tc>
        <w:tc>
          <w:tcPr>
            <w:tcW w:w="2910" w:type="dxa"/>
          </w:tcPr>
          <w:p w14:paraId="4C74104E" w14:textId="580FACA1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Madeira et al., 2023</w:t>
            </w:r>
          </w:p>
        </w:tc>
      </w:tr>
      <w:tr w:rsidR="00687D13" w:rsidRPr="00687D13" w14:paraId="4E41AA31" w14:textId="77777777" w:rsidTr="00F83258">
        <w:trPr>
          <w:trHeight w:val="220"/>
        </w:trPr>
        <w:tc>
          <w:tcPr>
            <w:tcW w:w="869" w:type="dxa"/>
            <w:tcBorders>
              <w:bottom w:val="single" w:sz="4" w:space="0" w:color="000000"/>
            </w:tcBorders>
          </w:tcPr>
          <w:p w14:paraId="3FDFF135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Rm</w:t>
            </w:r>
          </w:p>
        </w:tc>
        <w:tc>
          <w:tcPr>
            <w:tcW w:w="737" w:type="dxa"/>
            <w:tcBorders>
              <w:bottom w:val="single" w:sz="4" w:space="0" w:color="000000"/>
            </w:tcBorders>
          </w:tcPr>
          <w:p w14:paraId="0D3558FF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Msat</w:t>
            </w:r>
          </w:p>
        </w:tc>
        <w:tc>
          <w:tcPr>
            <w:tcW w:w="804" w:type="dxa"/>
            <w:tcBorders>
              <w:bottom w:val="single" w:sz="4" w:space="0" w:color="000000"/>
            </w:tcBorders>
          </w:tcPr>
          <w:p w14:paraId="52A3E0D6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9</w:t>
            </w:r>
          </w:p>
        </w:tc>
        <w:tc>
          <w:tcPr>
            <w:tcW w:w="803" w:type="dxa"/>
            <w:tcBorders>
              <w:bottom w:val="single" w:sz="4" w:space="0" w:color="000000"/>
            </w:tcBorders>
          </w:tcPr>
          <w:p w14:paraId="73F5666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625</w:t>
            </w:r>
          </w:p>
        </w:tc>
        <w:tc>
          <w:tcPr>
            <w:tcW w:w="473" w:type="dxa"/>
            <w:tcBorders>
              <w:bottom w:val="single" w:sz="4" w:space="0" w:color="000000"/>
            </w:tcBorders>
          </w:tcPr>
          <w:p w14:paraId="28667681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30</w:t>
            </w:r>
          </w:p>
        </w:tc>
        <w:tc>
          <w:tcPr>
            <w:tcW w:w="1010" w:type="dxa"/>
            <w:tcBorders>
              <w:bottom w:val="single" w:sz="4" w:space="0" w:color="000000"/>
            </w:tcBorders>
          </w:tcPr>
          <w:p w14:paraId="7DDCFAB7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TA, TEP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218B461A" w14:textId="77777777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  <w:t>Ho</w:t>
            </w:r>
          </w:p>
        </w:tc>
        <w:tc>
          <w:tcPr>
            <w:tcW w:w="2910" w:type="dxa"/>
            <w:tcBorders>
              <w:bottom w:val="single" w:sz="4" w:space="0" w:color="000000"/>
            </w:tcBorders>
          </w:tcPr>
          <w:p w14:paraId="770D2497" w14:textId="3B234F0C" w:rsidR="00687D13" w:rsidRPr="00687D13" w:rsidRDefault="00687D13" w:rsidP="00687D13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lang w:val="en"/>
                <w14:ligatures w14:val="none"/>
              </w:rPr>
            </w:pPr>
            <w:r w:rsidRPr="00687D13"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Takayama et al., 2013</w:t>
            </w:r>
            <w:r>
              <w:rPr>
                <w:rFonts w:ascii="Times New Roman" w:eastAsia="Times New Roman" w:hAnsi="Times New Roman" w:cs="Times New Roman"/>
                <w:noProof/>
                <w:kern w:val="0"/>
                <w:lang w:val="en"/>
                <w14:ligatures w14:val="none"/>
              </w:rPr>
              <w:t>*</w:t>
            </w:r>
          </w:p>
        </w:tc>
      </w:tr>
    </w:tbl>
    <w:p w14:paraId="252F078E" w14:textId="1CF63C4B" w:rsidR="00603E3D" w:rsidRPr="00427DFE" w:rsidRDefault="00427DFE" w:rsidP="00427DFE">
      <w:pPr>
        <w:spacing w:before="160"/>
        <w:rPr>
          <w:rFonts w:ascii="Times New Roman" w:hAnsi="Times New Roman" w:cs="Times New Roman"/>
          <w:b/>
          <w:bCs/>
        </w:rPr>
      </w:pPr>
      <w:r w:rsidRPr="00427DFE">
        <w:rPr>
          <w:rFonts w:ascii="Times New Roman" w:hAnsi="Times New Roman" w:cs="Times New Roman"/>
          <w:b/>
          <w:bCs/>
        </w:rPr>
        <w:t>References</w:t>
      </w:r>
    </w:p>
    <w:p w14:paraId="798A4FFF" w14:textId="77777777" w:rsidR="00D85560" w:rsidRPr="00D85560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8556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Cisneros‐de la Cruz, D. J., Martínez‐Castillo, J., Herrera‐Silveira, J., Yáñez‐Espinosa, L., Ortiz‐García, M., Us‐Santamaria, R., &amp; Andrade, J. L. (2018). 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Short‐distance 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lastRenderedPageBreak/>
        <w:t xml:space="preserve">barriers affect genetic variability of Rhizophora mangle L. in the Yucatan Peninsula. </w:t>
      </w:r>
      <w:r w:rsidRPr="00D8556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8556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11083–11099. https://doi.org/10.1002/ece3.4575</w:t>
      </w:r>
    </w:p>
    <w:p w14:paraId="0F5B20F1" w14:textId="77777777" w:rsidR="00D85560" w:rsidRPr="00D85560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</w:pPr>
      <w:r w:rsidRPr="00AD5A26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Cruz, M. V., Mori, G. M., Oh, D. H., Dassanayake, M., Zucchi, M. I., Oliveira, R. S., &amp; Souza, A. P. de. 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(2020). Molecular responses to freshwater limitation in the mangrove tree Avicennia germinans (Acanthaceae). </w:t>
      </w:r>
      <w:r w:rsidRPr="00D85560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Molecular Ecology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, </w:t>
      </w:r>
      <w:r w:rsidRPr="00D85560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29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>(2), 344–362. https://doi.org/10.1111/mec.15330</w:t>
      </w:r>
    </w:p>
    <w:p w14:paraId="360B7CF1" w14:textId="3E811590" w:rsidR="00D85560" w:rsidRPr="00E347F0" w:rsidRDefault="00D85560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</w:pPr>
      <w:r w:rsidRPr="00D8556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Cruz, M. V., Mori, G. M., Signori-Müller, C., da Silva, C. C., Oh, D. H., Dassanayake, M., Zucchi, M. I., Oliveira, R. S., &amp; de Souza, A. P. (2019). </w:t>
      </w:r>
      <w:r w:rsidRPr="00D8556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Local adaptation of a dominant coastal tree to freshwater availability and solar radiation suggested by genomic and ecophysiological approaches. </w:t>
      </w:r>
      <w:r w:rsidRPr="00AD5A26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Scientific Reports</w:t>
      </w:r>
      <w:r w:rsidRPr="00AD5A26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, </w:t>
      </w:r>
      <w:r w:rsidRPr="00AD5A26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9</w:t>
      </w:r>
      <w:r w:rsidRPr="00AD5A26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(1), 1–15. </w:t>
      </w:r>
      <w:r w:rsidR="00E347F0" w:rsidRPr="00D8556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>https://doi.org/10.1038/s41598-019-56469-w</w:t>
      </w:r>
    </w:p>
    <w:p w14:paraId="029C7393" w14:textId="77777777" w:rsidR="00E347F0" w:rsidRPr="00E347F0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E347F0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Francisco, P. M., Mori, G. M., Alves, F. M., Tambarussi, E. V., &amp; de Souza, A. P. (2018). 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Population genetic structure, introgression, and hybridization in the genus Rhizophora along the Brazilian coast.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Ecology and Evolution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8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3491–3504. https://doi.org/10.1002/ece3.3900</w:t>
      </w:r>
    </w:p>
    <w:p w14:paraId="1960E461" w14:textId="77777777" w:rsidR="00E347F0" w:rsidRPr="00E347F0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Chen, S., Payton, A. C., Mcdaniel, S. F., Soltis, P., &amp; Soltis, D. E. (2017). Adding loci improves phylogeographic resolution in red mangroves despite increased missing data : comparing microsatellites and RAD-Seq and investigating loci filtering.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Scientific Reports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November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, 1–14. https://doi.org/10.1038/s41598-017-16810-7</w:t>
      </w:r>
    </w:p>
    <w:p w14:paraId="35260A32" w14:textId="77777777" w:rsidR="00E347F0" w:rsidRPr="00E347F0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De Souza Cortez, M. B., Soltis, P. S., &amp; Soltis, D. E. (2016). Comparative phylogeography of black mangroves (Avicennia germinans) and red mangroves (Rhizophora mangle) in Florida: Testing the maritime discontinuity in coastal plants.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730–739. https://doi.org/10.3732/ajb.1500260</w:t>
      </w:r>
    </w:p>
    <w:p w14:paraId="0F61F968" w14:textId="77777777" w:rsidR="00E347F0" w:rsidRPr="00E347F0" w:rsidRDefault="00E347F0" w:rsidP="00E347F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Hodel, R. G. J., Knowles, L. L., McDaniel, S. F., Payton, A. C., Dunaway, J. F., Soltis, P. S., &amp; Soltis, D. E. (2018). Terrestrial species adapted to sea dispersal: Differences in propagule dispersal of two Caribbean mangroves.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E347F0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27</w:t>
      </w:r>
      <w:r w:rsidRPr="00E347F0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(22), 4612–4626. https://doi.org/10.1111/mec.14894</w:t>
      </w:r>
    </w:p>
    <w:p w14:paraId="2F6D89FF" w14:textId="77777777" w:rsidR="00F72788" w:rsidRPr="00F727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Garavelli, L., Truelove, N. K., Devlin, D. J., Box, S. J., Ch, L. M., &amp; 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lastRenderedPageBreak/>
        <w:t xml:space="preserve">Feller, I. C. (2017).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Contrasting genetic effects of red mangrove ( Rhizophora mangle L .) range expansion along West and East Florida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335–347. https://doi.org/10.1111/jbi.12813</w:t>
      </w:r>
    </w:p>
    <w:p w14:paraId="1853B69C" w14:textId="77777777" w:rsidR="00F72788" w:rsidRPr="00F727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Pil, M. W., Proffi, C. E., Boeger, W. A., Stanford, A. M., &amp; Devlin, D. J. (2016).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Postglacial expansion pathways of red mangrove , Rhizophora mangle , in the Caribbean Basin and Florida 1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103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260–276. https://doi.org/10.3732/ajb.1500183</w:t>
      </w:r>
    </w:p>
    <w:p w14:paraId="5E913046" w14:textId="77777777" w:rsidR="00F72788" w:rsidRPr="00F727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Kennedy, J. P., Preziosi, R. F., Rowntree, J. K., &amp; Feller, I. C. (2020). Is the central-marginal hypothesis a general rule? Evidence from three distributions of an expanding mangrove species, Avicennia germinans (L.) L.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29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(4), 704–719. https://doi.org/10.1111/mec.15365</w:t>
      </w:r>
    </w:p>
    <w:p w14:paraId="0823AC09" w14:textId="77777777" w:rsidR="00F72788" w:rsidRPr="00F727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F72788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Madeira, A. G., Tsuda, Y., Nagano, Y., Iwasaki, T., Zucchi, M. I., Kajita, T., &amp; Mori, G. M. (2023). 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The role of oceanic currents in the dispersal and connectivity of the mangrove Rhizophora mangle on the Southwest Atlantic region.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Molecular Ecology Resources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. https://doi.org/10.1111/1755-0998.13807</w:t>
      </w:r>
    </w:p>
    <w:p w14:paraId="4A6E0958" w14:textId="77777777" w:rsidR="00F72788" w:rsidRPr="00F72788" w:rsidRDefault="00F72788" w:rsidP="00F7278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Mori, G. M., Zucchi, M. I., &amp; Souza, A. P. (2015). Multiple-geographic-scale genetic structure of two mangrove tree species: The roles of mating system, hybridization, limited dispersal and extrinsic factors.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PLoS ONE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F7278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</w:t>
      </w:r>
      <w:r w:rsidRPr="00F7278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(2), 1–23. https://doi.org/10.1371/journal.pone.0118710</w:t>
      </w:r>
    </w:p>
    <w:p w14:paraId="149A623B" w14:textId="77777777" w:rsidR="00D83FF8" w:rsidRPr="00D83FF8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Ochoa-Zavala, M., Jaramillo-Correa, J. P., Piñero, D., Nettel-Hernanz, A., &amp; Núñez-Farfán, J. (2019). Contrasting colonization patterns of black mangrove (Avicennia germinans (L.) L.) gene pools along the Mexican coasts.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Journal of Biogeography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46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(5), 884–898. https://doi.org/10.1111/jbi.13536</w:t>
      </w:r>
    </w:p>
    <w:p w14:paraId="5E754B36" w14:textId="77777777" w:rsidR="00D83FF8" w:rsidRPr="00D83FF8" w:rsidRDefault="00D83FF8" w:rsidP="00D83FF8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AD5A26">
        <w:rPr>
          <w:rFonts w:ascii="Times New Roman" w:eastAsia="Calibri" w:hAnsi="Times New Roman" w:cs="Times New Roman"/>
          <w:noProof/>
          <w:kern w:val="0"/>
          <w:szCs w:val="22"/>
          <w:lang w:val="en-US"/>
          <w14:ligatures w14:val="none"/>
        </w:rPr>
        <w:t xml:space="preserve">Sereneski-Lima, C., Baggio, R. A., Pil, M. W., Torres Boeger, M. R., &amp; Boeger, W. A. (2021). 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Historical and contemporary factors affect the genetic diversity and structure of Laguncularia racemosa (L.) Gaertn, along the western Atlantic coast.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Estuarine, Coastal and Shelf Science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D83FF8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249</w:t>
      </w:r>
      <w:r w:rsidRPr="00D83FF8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(September 2019), 107055. https://doi.org/10.1016/j.ecss.2020.107055</w:t>
      </w:r>
    </w:p>
    <w:p w14:paraId="55100263" w14:textId="68C10223" w:rsidR="00E347F0" w:rsidRPr="00CB5D7E" w:rsidRDefault="00CB5D7E" w:rsidP="00D85560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</w:pP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Spalding, M. D., Fox, H. E., Allen, G. R., Davidson, N., Ferdaña, Z. A., Finlayson, M., Halpern, B. S., Jorge, M. A., Lombana, A., Lourie, S. A., Martin, K. D., McManus, E., Molnar, J., Recchia, C. A., &amp; Robertson, J. (2007). Marine ecoregions of the 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lastRenderedPageBreak/>
        <w:t xml:space="preserve">world: A bioregionalization of coastal and shelf areas.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BioScience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,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14:ligatures w14:val="none"/>
        </w:rPr>
        <w:t>57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>(7), 573–583. https://doi.org/10.1641/B570707</w:t>
      </w:r>
    </w:p>
    <w:p w14:paraId="340FED93" w14:textId="2D73D1DA" w:rsidR="00D85560" w:rsidRPr="00427DFE" w:rsidRDefault="00CB5D7E" w:rsidP="00427DFE">
      <w:pPr>
        <w:widowControl w:val="0"/>
        <w:autoSpaceDE w:val="0"/>
        <w:autoSpaceDN w:val="0"/>
        <w:adjustRightInd w:val="0"/>
        <w:spacing w:line="360" w:lineRule="auto"/>
        <w:ind w:left="480" w:hanging="480"/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</w:pPr>
      <w:r w:rsidRPr="00CB5D7E">
        <w:rPr>
          <w:rFonts w:ascii="Times New Roman" w:eastAsia="Calibri" w:hAnsi="Times New Roman" w:cs="Times New Roman"/>
          <w:noProof/>
          <w:kern w:val="0"/>
          <w:szCs w:val="22"/>
          <w14:ligatures w14:val="none"/>
        </w:rPr>
        <w:t xml:space="preserve">Takayama, K., Tamura, M., Tateishi, Y., Webb, E. L., &amp; Kajita, T. (2013). 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Strong genetic structure over the American continents and transoceanic dispersal in the mangrove genus Rhizophora (Rhizophoraceae) revealed by broad- scale nuclear and chloroplast DNA analysis.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American Journal of Botany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 xml:space="preserve">, </w:t>
      </w:r>
      <w:r w:rsidRPr="00CB5D7E">
        <w:rPr>
          <w:rFonts w:ascii="Times New Roman" w:eastAsia="Calibri" w:hAnsi="Times New Roman" w:cs="Times New Roman"/>
          <w:i/>
          <w:iCs/>
          <w:noProof/>
          <w:kern w:val="0"/>
          <w:szCs w:val="22"/>
          <w:lang w:val="en"/>
          <w14:ligatures w14:val="none"/>
        </w:rPr>
        <w:t>100</w:t>
      </w:r>
      <w:r w:rsidRPr="00CB5D7E">
        <w:rPr>
          <w:rFonts w:ascii="Times New Roman" w:eastAsia="Calibri" w:hAnsi="Times New Roman" w:cs="Times New Roman"/>
          <w:noProof/>
          <w:kern w:val="0"/>
          <w:szCs w:val="22"/>
          <w:lang w:val="en"/>
          <w14:ligatures w14:val="none"/>
        </w:rPr>
        <w:t>(6), 1191–1201. https://doi.org/10.3732/ajb.1200567</w:t>
      </w:r>
    </w:p>
    <w:sectPr w:rsidR="00D85560" w:rsidRPr="00427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E2"/>
    <w:rsid w:val="004128E2"/>
    <w:rsid w:val="00427DFE"/>
    <w:rsid w:val="004C4BC9"/>
    <w:rsid w:val="00603E3D"/>
    <w:rsid w:val="00687D13"/>
    <w:rsid w:val="009824F3"/>
    <w:rsid w:val="00A04EAB"/>
    <w:rsid w:val="00A42496"/>
    <w:rsid w:val="00AD5A26"/>
    <w:rsid w:val="00B50802"/>
    <w:rsid w:val="00CB5D7E"/>
    <w:rsid w:val="00D83FF8"/>
    <w:rsid w:val="00D85560"/>
    <w:rsid w:val="00E347F0"/>
    <w:rsid w:val="00F72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C373E"/>
  <w15:chartTrackingRefBased/>
  <w15:docId w15:val="{99A19EDC-9E21-476C-B10D-F1E3BB87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8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8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8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8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8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8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8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8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8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8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8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7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7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1046</Words>
  <Characters>5650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Justino</dc:creator>
  <cp:keywords/>
  <dc:description/>
  <cp:lastModifiedBy>Rodrigo Francisco Justino</cp:lastModifiedBy>
  <cp:revision>7</cp:revision>
  <dcterms:created xsi:type="dcterms:W3CDTF">2025-11-12T21:22:00Z</dcterms:created>
  <dcterms:modified xsi:type="dcterms:W3CDTF">2025-11-18T19:22:00Z</dcterms:modified>
</cp:coreProperties>
</file>