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7C4E9" w14:textId="39017147" w:rsidR="00593C48" w:rsidRPr="00593C48" w:rsidRDefault="00593C48" w:rsidP="00593C48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340"/>
        <w:jc w:val="both"/>
        <w:rPr>
          <w:rFonts w:ascii="Times New Roman" w:eastAsia="Times New Roman" w:hAnsi="Times New Roman" w:cs="Times New Roman"/>
          <w:b/>
          <w:kern w:val="0"/>
          <w:lang w:val="en"/>
          <w14:ligatures w14:val="none"/>
        </w:rPr>
      </w:pPr>
      <w:bookmarkStart w:id="0" w:name="_Hlk214293678"/>
      <w:r w:rsidRPr="00593C48">
        <w:rPr>
          <w:rFonts w:ascii="Times New Roman" w:eastAsia="Times New Roman" w:hAnsi="Times New Roman" w:cs="Times New Roman"/>
          <w:b/>
          <w:kern w:val="0"/>
          <w:lang w:val="en"/>
          <w14:ligatures w14:val="none"/>
        </w:rPr>
        <w:t>TABLE 2</w:t>
      </w:r>
      <w:r w:rsidR="003511AE">
        <w:rPr>
          <w:rFonts w:ascii="Times New Roman" w:eastAsia="Times New Roman" w:hAnsi="Times New Roman" w:cs="Times New Roman"/>
          <w:b/>
          <w:kern w:val="0"/>
          <w:lang w:val="en"/>
          <w14:ligatures w14:val="none"/>
        </w:rPr>
        <w:t>.1</w:t>
      </w:r>
      <w:r w:rsidRPr="00593C48">
        <w:rPr>
          <w:rFonts w:ascii="Times New Roman" w:eastAsia="Times New Roman" w:hAnsi="Times New Roman" w:cs="Times New Roman"/>
          <w:b/>
          <w:kern w:val="0"/>
          <w:lang w:val="en"/>
          <w14:ligatures w14:val="none"/>
        </w:rPr>
        <w:t xml:space="preserve"> 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Estimates of genetic diversity and total inbreeding for each dataset that used </w:t>
      </w:r>
      <w:r w:rsidRPr="00EF5E34">
        <w:rPr>
          <w:rFonts w:ascii="Times New Roman" w:eastAsia="Times New Roman" w:hAnsi="Times New Roman" w:cs="Times New Roman"/>
          <w:b/>
          <w:bCs/>
          <w:kern w:val="0"/>
          <w:lang w:val="en"/>
          <w14:ligatures w14:val="none"/>
        </w:rPr>
        <w:t>microsatellite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 as marker. Species: </w:t>
      </w:r>
      <w:r w:rsidRPr="00593C48">
        <w:rPr>
          <w:rFonts w:ascii="Times New Roman" w:eastAsia="Times New Roman" w:hAnsi="Times New Roman" w:cs="Times New Roman"/>
          <w:i/>
          <w:kern w:val="0"/>
          <w:lang w:val="en"/>
          <w14:ligatures w14:val="none"/>
        </w:rPr>
        <w:t>A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. </w:t>
      </w:r>
      <w:proofErr w:type="spellStart"/>
      <w:r w:rsidRPr="00593C48">
        <w:rPr>
          <w:rFonts w:ascii="Times New Roman" w:eastAsia="Times New Roman" w:hAnsi="Times New Roman" w:cs="Times New Roman"/>
          <w:i/>
          <w:kern w:val="0"/>
          <w:lang w:val="en"/>
          <w14:ligatures w14:val="none"/>
        </w:rPr>
        <w:t>germinans</w:t>
      </w:r>
      <w:proofErr w:type="spellEnd"/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 (</w:t>
      </w:r>
      <w:r w:rsidRPr="00593C48">
        <w:rPr>
          <w:rFonts w:ascii="Times New Roman" w:eastAsia="Times New Roman" w:hAnsi="Times New Roman" w:cs="Times New Roman"/>
          <w:iCs/>
          <w:kern w:val="0"/>
          <w:lang w:val="en"/>
          <w14:ligatures w14:val="none"/>
        </w:rPr>
        <w:t>Ag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), </w:t>
      </w:r>
      <w:r w:rsidRPr="00593C48">
        <w:rPr>
          <w:rFonts w:ascii="Times New Roman" w:eastAsia="Times New Roman" w:hAnsi="Times New Roman" w:cs="Times New Roman"/>
          <w:i/>
          <w:kern w:val="0"/>
          <w:lang w:val="en"/>
          <w14:ligatures w14:val="none"/>
        </w:rPr>
        <w:t>A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. </w:t>
      </w:r>
      <w:proofErr w:type="spellStart"/>
      <w:r w:rsidRPr="00593C48">
        <w:rPr>
          <w:rFonts w:ascii="Times New Roman" w:eastAsia="Times New Roman" w:hAnsi="Times New Roman" w:cs="Times New Roman"/>
          <w:i/>
          <w:kern w:val="0"/>
          <w:lang w:val="en"/>
          <w14:ligatures w14:val="none"/>
        </w:rPr>
        <w:t>schaueriana</w:t>
      </w:r>
      <w:proofErr w:type="spellEnd"/>
      <w:r w:rsidRPr="00593C48">
        <w:rPr>
          <w:rFonts w:ascii="Times New Roman" w:eastAsia="Times New Roman" w:hAnsi="Times New Roman" w:cs="Times New Roman"/>
          <w:iCs/>
          <w:kern w:val="0"/>
          <w:lang w:val="en"/>
          <w14:ligatures w14:val="none"/>
        </w:rPr>
        <w:t xml:space="preserve"> (As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), </w:t>
      </w:r>
      <w:r w:rsidRPr="00593C48">
        <w:rPr>
          <w:rFonts w:ascii="Times New Roman" w:eastAsia="Times New Roman" w:hAnsi="Times New Roman" w:cs="Times New Roman"/>
          <w:i/>
          <w:kern w:val="0"/>
          <w:lang w:val="en"/>
          <w14:ligatures w14:val="none"/>
        </w:rPr>
        <w:t>L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. </w:t>
      </w:r>
      <w:r w:rsidRPr="00593C48">
        <w:rPr>
          <w:rFonts w:ascii="Times New Roman" w:eastAsia="Times New Roman" w:hAnsi="Times New Roman" w:cs="Times New Roman"/>
          <w:i/>
          <w:kern w:val="0"/>
          <w:lang w:val="en"/>
          <w14:ligatures w14:val="none"/>
        </w:rPr>
        <w:t xml:space="preserve">racemosa </w:t>
      </w:r>
      <w:r w:rsidRPr="00593C48">
        <w:rPr>
          <w:rFonts w:ascii="Times New Roman" w:eastAsia="Times New Roman" w:hAnsi="Times New Roman" w:cs="Times New Roman"/>
          <w:iCs/>
          <w:kern w:val="0"/>
          <w:lang w:val="en"/>
          <w14:ligatures w14:val="none"/>
        </w:rPr>
        <w:t>(Lr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), and </w:t>
      </w:r>
      <w:r w:rsidRPr="00593C48">
        <w:rPr>
          <w:rFonts w:ascii="Times New Roman" w:eastAsia="Times New Roman" w:hAnsi="Times New Roman" w:cs="Times New Roman"/>
          <w:i/>
          <w:kern w:val="0"/>
          <w:lang w:val="en"/>
          <w14:ligatures w14:val="none"/>
        </w:rPr>
        <w:t>R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. </w:t>
      </w:r>
      <w:r w:rsidRPr="00593C48">
        <w:rPr>
          <w:rFonts w:ascii="Times New Roman" w:eastAsia="Times New Roman" w:hAnsi="Times New Roman" w:cs="Times New Roman"/>
          <w:i/>
          <w:kern w:val="0"/>
          <w:lang w:val="en"/>
          <w14:ligatures w14:val="none"/>
        </w:rPr>
        <w:t xml:space="preserve">mangle </w:t>
      </w:r>
      <w:r w:rsidRPr="00593C48">
        <w:rPr>
          <w:rFonts w:ascii="Times New Roman" w:eastAsia="Times New Roman" w:hAnsi="Times New Roman" w:cs="Times New Roman"/>
          <w:iCs/>
          <w:kern w:val="0"/>
          <w:lang w:val="en"/>
          <w14:ligatures w14:val="none"/>
        </w:rPr>
        <w:t>(Rm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>); Allelic richness (</w:t>
      </w:r>
      <w:proofErr w:type="spellStart"/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>Ar</w:t>
      </w:r>
      <w:proofErr w:type="spellEnd"/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>); Expected heterozygosity (H</w:t>
      </w:r>
      <w:r w:rsidRPr="00593C48">
        <w:rPr>
          <w:rFonts w:ascii="Times New Roman" w:eastAsia="Times New Roman" w:hAnsi="Times New Roman" w:cs="Times New Roman"/>
          <w:kern w:val="0"/>
          <w:vertAlign w:val="subscript"/>
          <w:lang w:val="en"/>
          <w14:ligatures w14:val="none"/>
        </w:rPr>
        <w:t>E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>); Observed heterozygosity (H</w:t>
      </w:r>
      <w:r w:rsidRPr="00593C48">
        <w:rPr>
          <w:rFonts w:ascii="Times New Roman" w:eastAsia="Times New Roman" w:hAnsi="Times New Roman" w:cs="Times New Roman"/>
          <w:kern w:val="0"/>
          <w:vertAlign w:val="subscript"/>
          <w:lang w:val="en"/>
          <w14:ligatures w14:val="none"/>
        </w:rPr>
        <w:t>O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>); Inbreeding coefficient (F</w:t>
      </w:r>
      <w:r w:rsidRPr="00593C48">
        <w:rPr>
          <w:rFonts w:ascii="Times New Roman" w:eastAsia="Times New Roman" w:hAnsi="Times New Roman" w:cs="Times New Roman"/>
          <w:kern w:val="0"/>
          <w:vertAlign w:val="subscript"/>
          <w:lang w:val="en"/>
          <w14:ligatures w14:val="none"/>
        </w:rPr>
        <w:t>IS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>); and the reference for each dataset. Results are shown as mean calculated across loci of all populations of each dataset ± standard deviation.</w:t>
      </w:r>
    </w:p>
    <w:tbl>
      <w:tblPr>
        <w:tblW w:w="9776" w:type="dxa"/>
        <w:tblInd w:w="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28"/>
        <w:gridCol w:w="1527"/>
        <w:gridCol w:w="1527"/>
        <w:gridCol w:w="1527"/>
        <w:gridCol w:w="1527"/>
        <w:gridCol w:w="2140"/>
      </w:tblGrid>
      <w:tr w:rsidR="00593C48" w:rsidRPr="00593C48" w14:paraId="67908084" w14:textId="77777777" w:rsidTr="00593C48">
        <w:trPr>
          <w:trHeight w:val="251"/>
        </w:trPr>
        <w:tc>
          <w:tcPr>
            <w:tcW w:w="1528" w:type="dxa"/>
            <w:tcBorders>
              <w:top w:val="single" w:sz="4" w:space="0" w:color="000000"/>
              <w:bottom w:val="single" w:sz="4" w:space="0" w:color="000000"/>
            </w:tcBorders>
          </w:tcPr>
          <w:p w14:paraId="3B49D3B2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Species</w:t>
            </w:r>
          </w:p>
        </w:tc>
        <w:tc>
          <w:tcPr>
            <w:tcW w:w="1527" w:type="dxa"/>
            <w:tcBorders>
              <w:top w:val="single" w:sz="4" w:space="0" w:color="000000"/>
              <w:bottom w:val="single" w:sz="4" w:space="0" w:color="000000"/>
            </w:tcBorders>
          </w:tcPr>
          <w:p w14:paraId="1A4B1E38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proofErr w:type="spellStart"/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Ar</w:t>
            </w:r>
            <w:proofErr w:type="spellEnd"/>
          </w:p>
        </w:tc>
        <w:tc>
          <w:tcPr>
            <w:tcW w:w="1527" w:type="dxa"/>
            <w:tcBorders>
              <w:top w:val="single" w:sz="4" w:space="0" w:color="000000"/>
              <w:bottom w:val="single" w:sz="4" w:space="0" w:color="000000"/>
            </w:tcBorders>
          </w:tcPr>
          <w:p w14:paraId="4ED319EB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H</w:t>
            </w:r>
            <w:r w:rsidRPr="00593C48">
              <w:rPr>
                <w:rFonts w:ascii="Times New Roman" w:eastAsia="Times New Roman" w:hAnsi="Times New Roman" w:cs="Times New Roman"/>
                <w:kern w:val="0"/>
                <w:vertAlign w:val="subscript"/>
                <w:lang w:val="en"/>
                <w14:ligatures w14:val="none"/>
              </w:rPr>
              <w:t>E</w:t>
            </w:r>
          </w:p>
        </w:tc>
        <w:tc>
          <w:tcPr>
            <w:tcW w:w="1527" w:type="dxa"/>
            <w:tcBorders>
              <w:top w:val="single" w:sz="4" w:space="0" w:color="000000"/>
              <w:bottom w:val="single" w:sz="4" w:space="0" w:color="000000"/>
            </w:tcBorders>
          </w:tcPr>
          <w:p w14:paraId="13962277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H</w:t>
            </w:r>
            <w:r w:rsidRPr="00593C48">
              <w:rPr>
                <w:rFonts w:ascii="Times New Roman" w:eastAsia="Times New Roman" w:hAnsi="Times New Roman" w:cs="Times New Roman"/>
                <w:kern w:val="0"/>
                <w:vertAlign w:val="subscript"/>
                <w:lang w:val="en"/>
                <w14:ligatures w14:val="none"/>
              </w:rPr>
              <w:t>O</w:t>
            </w:r>
          </w:p>
        </w:tc>
        <w:tc>
          <w:tcPr>
            <w:tcW w:w="1527" w:type="dxa"/>
            <w:tcBorders>
              <w:top w:val="single" w:sz="4" w:space="0" w:color="000000"/>
              <w:bottom w:val="single" w:sz="4" w:space="0" w:color="000000"/>
            </w:tcBorders>
          </w:tcPr>
          <w:p w14:paraId="01B4FDC2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F</w:t>
            </w:r>
            <w:r w:rsidRPr="00593C48">
              <w:rPr>
                <w:rFonts w:ascii="Times New Roman" w:eastAsia="Times New Roman" w:hAnsi="Times New Roman" w:cs="Times New Roman"/>
                <w:kern w:val="0"/>
                <w:vertAlign w:val="subscript"/>
                <w:lang w:val="en"/>
                <w14:ligatures w14:val="none"/>
              </w:rPr>
              <w:t>IS</w:t>
            </w:r>
          </w:p>
        </w:tc>
        <w:tc>
          <w:tcPr>
            <w:tcW w:w="2140" w:type="dxa"/>
            <w:tcBorders>
              <w:top w:val="single" w:sz="4" w:space="0" w:color="000000"/>
              <w:bottom w:val="single" w:sz="4" w:space="0" w:color="000000"/>
            </w:tcBorders>
          </w:tcPr>
          <w:p w14:paraId="1777BCBE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References</w:t>
            </w:r>
          </w:p>
        </w:tc>
      </w:tr>
      <w:tr w:rsidR="00593C48" w:rsidRPr="00593C48" w14:paraId="2769462C" w14:textId="77777777" w:rsidTr="00593C48">
        <w:trPr>
          <w:trHeight w:val="635"/>
        </w:trPr>
        <w:tc>
          <w:tcPr>
            <w:tcW w:w="1528" w:type="dxa"/>
          </w:tcPr>
          <w:p w14:paraId="2D9F4157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Ag</w:t>
            </w:r>
          </w:p>
        </w:tc>
        <w:tc>
          <w:tcPr>
            <w:tcW w:w="1527" w:type="dxa"/>
          </w:tcPr>
          <w:p w14:paraId="519A63F9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2.543 ±0.302</w:t>
            </w:r>
          </w:p>
        </w:tc>
        <w:tc>
          <w:tcPr>
            <w:tcW w:w="1527" w:type="dxa"/>
          </w:tcPr>
          <w:p w14:paraId="2AFA183B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0.456 ±0.071</w:t>
            </w:r>
          </w:p>
        </w:tc>
        <w:tc>
          <w:tcPr>
            <w:tcW w:w="1527" w:type="dxa"/>
          </w:tcPr>
          <w:p w14:paraId="578061EE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0.672 ±0.154</w:t>
            </w:r>
          </w:p>
        </w:tc>
        <w:tc>
          <w:tcPr>
            <w:tcW w:w="1527" w:type="dxa"/>
          </w:tcPr>
          <w:p w14:paraId="7339C0C6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-0.422 ±0.154</w:t>
            </w:r>
          </w:p>
        </w:tc>
        <w:tc>
          <w:tcPr>
            <w:tcW w:w="2140" w:type="dxa"/>
          </w:tcPr>
          <w:p w14:paraId="09A5598E" w14:textId="7EC5459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Hodel et al., 2016</w:t>
            </w:r>
          </w:p>
        </w:tc>
      </w:tr>
      <w:tr w:rsidR="00593C48" w:rsidRPr="00593C48" w14:paraId="6779EEC2" w14:textId="77777777" w:rsidTr="00593C48">
        <w:trPr>
          <w:trHeight w:val="635"/>
        </w:trPr>
        <w:tc>
          <w:tcPr>
            <w:tcW w:w="1528" w:type="dxa"/>
          </w:tcPr>
          <w:p w14:paraId="0CB5D88F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Ag</w:t>
            </w:r>
          </w:p>
        </w:tc>
        <w:tc>
          <w:tcPr>
            <w:tcW w:w="1527" w:type="dxa"/>
          </w:tcPr>
          <w:p w14:paraId="37419FDF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2.260 ±0.390 </w:t>
            </w:r>
          </w:p>
        </w:tc>
        <w:tc>
          <w:tcPr>
            <w:tcW w:w="1527" w:type="dxa"/>
          </w:tcPr>
          <w:p w14:paraId="6B9EF125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0.325 ±0,111</w:t>
            </w:r>
          </w:p>
        </w:tc>
        <w:tc>
          <w:tcPr>
            <w:tcW w:w="1527" w:type="dxa"/>
          </w:tcPr>
          <w:p w14:paraId="4B960F0D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0.276 ±0.127</w:t>
            </w:r>
          </w:p>
        </w:tc>
        <w:tc>
          <w:tcPr>
            <w:tcW w:w="1527" w:type="dxa"/>
          </w:tcPr>
          <w:p w14:paraId="56CC543E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0.181 ±0.187</w:t>
            </w:r>
          </w:p>
        </w:tc>
        <w:tc>
          <w:tcPr>
            <w:tcW w:w="2140" w:type="dxa"/>
          </w:tcPr>
          <w:p w14:paraId="77C8A54A" w14:textId="6A2D8A70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Kennedy et al., 2020</w:t>
            </w:r>
          </w:p>
        </w:tc>
      </w:tr>
      <w:tr w:rsidR="00593C48" w:rsidRPr="00593C48" w14:paraId="4D60E523" w14:textId="77777777" w:rsidTr="00593C48">
        <w:trPr>
          <w:trHeight w:val="635"/>
        </w:trPr>
        <w:tc>
          <w:tcPr>
            <w:tcW w:w="1528" w:type="dxa"/>
          </w:tcPr>
          <w:p w14:paraId="4BC97173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Ag</w:t>
            </w:r>
          </w:p>
        </w:tc>
        <w:tc>
          <w:tcPr>
            <w:tcW w:w="1527" w:type="dxa"/>
          </w:tcPr>
          <w:p w14:paraId="0A1234FA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2.624 ±0.751</w:t>
            </w:r>
          </w:p>
        </w:tc>
        <w:tc>
          <w:tcPr>
            <w:tcW w:w="1527" w:type="dxa"/>
          </w:tcPr>
          <w:p w14:paraId="77871962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0.438 ±0,171</w:t>
            </w:r>
          </w:p>
        </w:tc>
        <w:tc>
          <w:tcPr>
            <w:tcW w:w="1527" w:type="dxa"/>
          </w:tcPr>
          <w:p w14:paraId="14E5B825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0.432 ±0,306</w:t>
            </w:r>
          </w:p>
        </w:tc>
        <w:tc>
          <w:tcPr>
            <w:tcW w:w="1527" w:type="dxa"/>
          </w:tcPr>
          <w:p w14:paraId="4BD61A83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0.218 ±0,244</w:t>
            </w:r>
          </w:p>
        </w:tc>
        <w:tc>
          <w:tcPr>
            <w:tcW w:w="2140" w:type="dxa"/>
          </w:tcPr>
          <w:p w14:paraId="6FC400D5" w14:textId="4E57B7EC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Mori et al., 2015</w:t>
            </w:r>
          </w:p>
        </w:tc>
      </w:tr>
      <w:tr w:rsidR="00593C48" w:rsidRPr="00593C48" w14:paraId="06E72466" w14:textId="77777777" w:rsidTr="00593C48">
        <w:trPr>
          <w:trHeight w:val="635"/>
        </w:trPr>
        <w:tc>
          <w:tcPr>
            <w:tcW w:w="1528" w:type="dxa"/>
          </w:tcPr>
          <w:p w14:paraId="19435000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Ag</w:t>
            </w:r>
          </w:p>
        </w:tc>
        <w:tc>
          <w:tcPr>
            <w:tcW w:w="1527" w:type="dxa"/>
          </w:tcPr>
          <w:p w14:paraId="4660D323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2.551 ±0.658</w:t>
            </w:r>
          </w:p>
        </w:tc>
        <w:tc>
          <w:tcPr>
            <w:tcW w:w="1527" w:type="dxa"/>
          </w:tcPr>
          <w:p w14:paraId="0B90B5F7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0.239 ±0,108</w:t>
            </w:r>
          </w:p>
        </w:tc>
        <w:tc>
          <w:tcPr>
            <w:tcW w:w="1527" w:type="dxa"/>
          </w:tcPr>
          <w:p w14:paraId="49A18CD0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0.224 ±0,302</w:t>
            </w:r>
          </w:p>
        </w:tc>
        <w:tc>
          <w:tcPr>
            <w:tcW w:w="1527" w:type="dxa"/>
          </w:tcPr>
          <w:p w14:paraId="55A3D75C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0.132 ±0,158</w:t>
            </w:r>
          </w:p>
        </w:tc>
        <w:tc>
          <w:tcPr>
            <w:tcW w:w="2140" w:type="dxa"/>
          </w:tcPr>
          <w:p w14:paraId="0989CF6C" w14:textId="6FFE97C4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O-Zavala et al., 2019</w:t>
            </w:r>
          </w:p>
        </w:tc>
      </w:tr>
      <w:tr w:rsidR="00593C48" w:rsidRPr="00593C48" w14:paraId="3A3C3B81" w14:textId="77777777" w:rsidTr="00593C48">
        <w:trPr>
          <w:trHeight w:val="635"/>
        </w:trPr>
        <w:tc>
          <w:tcPr>
            <w:tcW w:w="1528" w:type="dxa"/>
          </w:tcPr>
          <w:p w14:paraId="6C6C1F70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As</w:t>
            </w:r>
          </w:p>
        </w:tc>
        <w:tc>
          <w:tcPr>
            <w:tcW w:w="1527" w:type="dxa"/>
          </w:tcPr>
          <w:p w14:paraId="0AFF0959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2.416 ±0.563</w:t>
            </w:r>
          </w:p>
        </w:tc>
        <w:tc>
          <w:tcPr>
            <w:tcW w:w="1527" w:type="dxa"/>
          </w:tcPr>
          <w:p w14:paraId="75163FF8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0.236 ±0,086</w:t>
            </w:r>
          </w:p>
        </w:tc>
        <w:tc>
          <w:tcPr>
            <w:tcW w:w="1527" w:type="dxa"/>
          </w:tcPr>
          <w:p w14:paraId="71A1067A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0.171 ±0,063</w:t>
            </w:r>
          </w:p>
        </w:tc>
        <w:tc>
          <w:tcPr>
            <w:tcW w:w="1527" w:type="dxa"/>
          </w:tcPr>
          <w:p w14:paraId="49825A0D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0.248 ±0,104</w:t>
            </w:r>
          </w:p>
        </w:tc>
        <w:tc>
          <w:tcPr>
            <w:tcW w:w="2140" w:type="dxa"/>
          </w:tcPr>
          <w:p w14:paraId="28C57592" w14:textId="4C3D701A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Mori et al., 2015</w:t>
            </w:r>
          </w:p>
        </w:tc>
      </w:tr>
      <w:tr w:rsidR="00593C48" w:rsidRPr="00593C48" w14:paraId="3CD97587" w14:textId="77777777" w:rsidTr="00593C48">
        <w:trPr>
          <w:trHeight w:val="635"/>
        </w:trPr>
        <w:tc>
          <w:tcPr>
            <w:tcW w:w="1528" w:type="dxa"/>
          </w:tcPr>
          <w:p w14:paraId="33C3990F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Lr</w:t>
            </w:r>
          </w:p>
        </w:tc>
        <w:tc>
          <w:tcPr>
            <w:tcW w:w="1527" w:type="dxa"/>
          </w:tcPr>
          <w:p w14:paraId="71D39C14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1.551 ±0.398</w:t>
            </w:r>
          </w:p>
        </w:tc>
        <w:tc>
          <w:tcPr>
            <w:tcW w:w="1527" w:type="dxa"/>
          </w:tcPr>
          <w:p w14:paraId="5E179DFB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0.204 ±0,160</w:t>
            </w:r>
          </w:p>
        </w:tc>
        <w:tc>
          <w:tcPr>
            <w:tcW w:w="1527" w:type="dxa"/>
          </w:tcPr>
          <w:p w14:paraId="4B14839E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0.106 ±0.059</w:t>
            </w:r>
          </w:p>
        </w:tc>
        <w:tc>
          <w:tcPr>
            <w:tcW w:w="1527" w:type="dxa"/>
          </w:tcPr>
          <w:p w14:paraId="6D0A31A4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0.475 ±0.165</w:t>
            </w:r>
          </w:p>
        </w:tc>
        <w:tc>
          <w:tcPr>
            <w:tcW w:w="2140" w:type="dxa"/>
          </w:tcPr>
          <w:p w14:paraId="3B1F5A56" w14:textId="3756D3F5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S-Lima et al.,2021</w:t>
            </w:r>
          </w:p>
        </w:tc>
      </w:tr>
      <w:tr w:rsidR="00593C48" w:rsidRPr="00593C48" w14:paraId="19BF042A" w14:textId="77777777" w:rsidTr="00593C48">
        <w:trPr>
          <w:trHeight w:val="635"/>
        </w:trPr>
        <w:tc>
          <w:tcPr>
            <w:tcW w:w="1528" w:type="dxa"/>
          </w:tcPr>
          <w:p w14:paraId="7D7E7F2D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Rm</w:t>
            </w:r>
          </w:p>
        </w:tc>
        <w:tc>
          <w:tcPr>
            <w:tcW w:w="1527" w:type="dxa"/>
          </w:tcPr>
          <w:p w14:paraId="78E1D7F5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2.416 ±0.299</w:t>
            </w:r>
          </w:p>
        </w:tc>
        <w:tc>
          <w:tcPr>
            <w:tcW w:w="1527" w:type="dxa"/>
          </w:tcPr>
          <w:p w14:paraId="0B26C087" w14:textId="79C31B7C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</w:t>
            </w:r>
            <w:r w:rsidR="00E21DC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.</w:t>
            </w: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428 ±0,067</w:t>
            </w:r>
          </w:p>
        </w:tc>
        <w:tc>
          <w:tcPr>
            <w:tcW w:w="1527" w:type="dxa"/>
          </w:tcPr>
          <w:p w14:paraId="68B4AB85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0.314 ±0.070</w:t>
            </w:r>
          </w:p>
        </w:tc>
        <w:tc>
          <w:tcPr>
            <w:tcW w:w="1527" w:type="dxa"/>
          </w:tcPr>
          <w:p w14:paraId="7624FB29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0.221 ±0.137</w:t>
            </w:r>
          </w:p>
        </w:tc>
        <w:tc>
          <w:tcPr>
            <w:tcW w:w="2140" w:type="dxa"/>
          </w:tcPr>
          <w:p w14:paraId="03C438AD" w14:textId="4DF4D402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de </w:t>
            </w:r>
            <w:proofErr w:type="spellStart"/>
            <w:r w:rsidRPr="00593C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</w:t>
            </w:r>
            <w:proofErr w:type="spellEnd"/>
            <w:r w:rsidRPr="00593C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Cruz et al., 2018</w:t>
            </w:r>
          </w:p>
        </w:tc>
      </w:tr>
      <w:tr w:rsidR="00593C48" w:rsidRPr="00593C48" w14:paraId="3401838C" w14:textId="77777777" w:rsidTr="00593C48">
        <w:trPr>
          <w:trHeight w:val="635"/>
        </w:trPr>
        <w:tc>
          <w:tcPr>
            <w:tcW w:w="1528" w:type="dxa"/>
          </w:tcPr>
          <w:p w14:paraId="500F8564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Rm</w:t>
            </w:r>
          </w:p>
        </w:tc>
        <w:tc>
          <w:tcPr>
            <w:tcW w:w="1527" w:type="dxa"/>
          </w:tcPr>
          <w:p w14:paraId="7E7D27C3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1.798 ±0.724</w:t>
            </w:r>
          </w:p>
        </w:tc>
        <w:tc>
          <w:tcPr>
            <w:tcW w:w="1527" w:type="dxa"/>
          </w:tcPr>
          <w:p w14:paraId="226B6D43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0.196 ±0,156</w:t>
            </w:r>
          </w:p>
        </w:tc>
        <w:tc>
          <w:tcPr>
            <w:tcW w:w="1527" w:type="dxa"/>
          </w:tcPr>
          <w:p w14:paraId="0E4B5BEA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0.190 ±0.105</w:t>
            </w:r>
          </w:p>
        </w:tc>
        <w:tc>
          <w:tcPr>
            <w:tcW w:w="1527" w:type="dxa"/>
          </w:tcPr>
          <w:p w14:paraId="7C11D8CD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-0.015 ±0.324</w:t>
            </w:r>
          </w:p>
        </w:tc>
        <w:tc>
          <w:tcPr>
            <w:tcW w:w="2140" w:type="dxa"/>
          </w:tcPr>
          <w:p w14:paraId="53B72489" w14:textId="03EA12C0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Francisco et al., 2018</w:t>
            </w:r>
          </w:p>
        </w:tc>
      </w:tr>
      <w:tr w:rsidR="00593C48" w:rsidRPr="00593C48" w14:paraId="64BD9AE6" w14:textId="77777777" w:rsidTr="00593C48">
        <w:trPr>
          <w:trHeight w:val="635"/>
        </w:trPr>
        <w:tc>
          <w:tcPr>
            <w:tcW w:w="1528" w:type="dxa"/>
          </w:tcPr>
          <w:p w14:paraId="39205B4A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Rm</w:t>
            </w:r>
          </w:p>
        </w:tc>
        <w:tc>
          <w:tcPr>
            <w:tcW w:w="1527" w:type="dxa"/>
          </w:tcPr>
          <w:p w14:paraId="295B0006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2.452 ±0.247</w:t>
            </w:r>
          </w:p>
        </w:tc>
        <w:tc>
          <w:tcPr>
            <w:tcW w:w="1527" w:type="dxa"/>
          </w:tcPr>
          <w:p w14:paraId="231CAD5D" w14:textId="573001AC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</w:t>
            </w:r>
            <w:r w:rsidR="005F0E3B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.</w:t>
            </w: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425 ±0,062</w:t>
            </w:r>
          </w:p>
        </w:tc>
        <w:tc>
          <w:tcPr>
            <w:tcW w:w="1527" w:type="dxa"/>
          </w:tcPr>
          <w:p w14:paraId="1E3391B1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0.489 ±0,105</w:t>
            </w:r>
          </w:p>
        </w:tc>
        <w:tc>
          <w:tcPr>
            <w:tcW w:w="1527" w:type="dxa"/>
          </w:tcPr>
          <w:p w14:paraId="3B690306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-0.089 ±0,127</w:t>
            </w:r>
          </w:p>
        </w:tc>
        <w:tc>
          <w:tcPr>
            <w:tcW w:w="2140" w:type="dxa"/>
          </w:tcPr>
          <w:p w14:paraId="46A5E135" w14:textId="6F1DB189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Hodel et al., 2016</w:t>
            </w:r>
          </w:p>
        </w:tc>
      </w:tr>
      <w:tr w:rsidR="00593C48" w:rsidRPr="00593C48" w14:paraId="1A2C5B05" w14:textId="77777777" w:rsidTr="00593C48">
        <w:trPr>
          <w:trHeight w:val="635"/>
        </w:trPr>
        <w:tc>
          <w:tcPr>
            <w:tcW w:w="1528" w:type="dxa"/>
          </w:tcPr>
          <w:p w14:paraId="58EC51EE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Rm</w:t>
            </w:r>
          </w:p>
        </w:tc>
        <w:tc>
          <w:tcPr>
            <w:tcW w:w="1527" w:type="dxa"/>
          </w:tcPr>
          <w:p w14:paraId="7D0FF245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2.350 ±0.257</w:t>
            </w:r>
          </w:p>
        </w:tc>
        <w:tc>
          <w:tcPr>
            <w:tcW w:w="1527" w:type="dxa"/>
          </w:tcPr>
          <w:p w14:paraId="67CE46F6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0.419 ±0.071</w:t>
            </w:r>
          </w:p>
        </w:tc>
        <w:tc>
          <w:tcPr>
            <w:tcW w:w="1527" w:type="dxa"/>
          </w:tcPr>
          <w:p w14:paraId="6F853BFB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0.493 ±0.112</w:t>
            </w:r>
          </w:p>
        </w:tc>
        <w:tc>
          <w:tcPr>
            <w:tcW w:w="1527" w:type="dxa"/>
          </w:tcPr>
          <w:p w14:paraId="655B0C9C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-0.089 ±0.123</w:t>
            </w:r>
          </w:p>
        </w:tc>
        <w:tc>
          <w:tcPr>
            <w:tcW w:w="2140" w:type="dxa"/>
          </w:tcPr>
          <w:p w14:paraId="70FFA365" w14:textId="27FCF680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Hodel et al., 2017</w:t>
            </w:r>
          </w:p>
        </w:tc>
      </w:tr>
      <w:tr w:rsidR="00593C48" w:rsidRPr="00593C48" w14:paraId="2AE5DA59" w14:textId="77777777" w:rsidTr="00593C48">
        <w:trPr>
          <w:trHeight w:val="635"/>
        </w:trPr>
        <w:tc>
          <w:tcPr>
            <w:tcW w:w="1528" w:type="dxa"/>
          </w:tcPr>
          <w:p w14:paraId="32AC9613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Rm</w:t>
            </w:r>
          </w:p>
        </w:tc>
        <w:tc>
          <w:tcPr>
            <w:tcW w:w="1527" w:type="dxa"/>
          </w:tcPr>
          <w:p w14:paraId="220626C7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2.532 ±0.500</w:t>
            </w:r>
          </w:p>
        </w:tc>
        <w:tc>
          <w:tcPr>
            <w:tcW w:w="1527" w:type="dxa"/>
          </w:tcPr>
          <w:p w14:paraId="610A6BE5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0.350 ±0.122</w:t>
            </w:r>
          </w:p>
        </w:tc>
        <w:tc>
          <w:tcPr>
            <w:tcW w:w="1527" w:type="dxa"/>
          </w:tcPr>
          <w:p w14:paraId="67DA1498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0.310 ±0.106</w:t>
            </w:r>
          </w:p>
        </w:tc>
        <w:tc>
          <w:tcPr>
            <w:tcW w:w="1527" w:type="dxa"/>
          </w:tcPr>
          <w:p w14:paraId="3454F458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0.093 ±0.125</w:t>
            </w:r>
          </w:p>
        </w:tc>
        <w:tc>
          <w:tcPr>
            <w:tcW w:w="2140" w:type="dxa"/>
          </w:tcPr>
          <w:p w14:paraId="3A2EA7BD" w14:textId="6675DCCE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Kennedy et al., 2016</w:t>
            </w:r>
          </w:p>
        </w:tc>
      </w:tr>
      <w:tr w:rsidR="00593C48" w:rsidRPr="00593C48" w14:paraId="309F05FC" w14:textId="77777777" w:rsidTr="00593C48">
        <w:trPr>
          <w:trHeight w:val="635"/>
        </w:trPr>
        <w:tc>
          <w:tcPr>
            <w:tcW w:w="1528" w:type="dxa"/>
          </w:tcPr>
          <w:p w14:paraId="4EF65642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Rm</w:t>
            </w:r>
          </w:p>
        </w:tc>
        <w:tc>
          <w:tcPr>
            <w:tcW w:w="1527" w:type="dxa"/>
          </w:tcPr>
          <w:p w14:paraId="5B57F838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2.407 ±0.395</w:t>
            </w:r>
          </w:p>
        </w:tc>
        <w:tc>
          <w:tcPr>
            <w:tcW w:w="1527" w:type="dxa"/>
          </w:tcPr>
          <w:p w14:paraId="58DA58CE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0.317 ±0.096</w:t>
            </w:r>
          </w:p>
        </w:tc>
        <w:tc>
          <w:tcPr>
            <w:tcW w:w="1527" w:type="dxa"/>
          </w:tcPr>
          <w:p w14:paraId="4B8DB638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0.265 ±0.129</w:t>
            </w:r>
          </w:p>
        </w:tc>
        <w:tc>
          <w:tcPr>
            <w:tcW w:w="1527" w:type="dxa"/>
          </w:tcPr>
          <w:p w14:paraId="169464F4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0.211 ±0.222</w:t>
            </w:r>
          </w:p>
        </w:tc>
        <w:tc>
          <w:tcPr>
            <w:tcW w:w="2140" w:type="dxa"/>
          </w:tcPr>
          <w:p w14:paraId="55F1999D" w14:textId="1281E4AF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Kennedy et al., 2017</w:t>
            </w:r>
          </w:p>
        </w:tc>
      </w:tr>
      <w:tr w:rsidR="00593C48" w:rsidRPr="00593C48" w14:paraId="3F04B340" w14:textId="77777777" w:rsidTr="00593C48">
        <w:trPr>
          <w:trHeight w:val="635"/>
        </w:trPr>
        <w:tc>
          <w:tcPr>
            <w:tcW w:w="1528" w:type="dxa"/>
            <w:tcBorders>
              <w:bottom w:val="single" w:sz="4" w:space="0" w:color="000000"/>
            </w:tcBorders>
          </w:tcPr>
          <w:p w14:paraId="5FB5683D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Rm</w:t>
            </w:r>
          </w:p>
        </w:tc>
        <w:tc>
          <w:tcPr>
            <w:tcW w:w="1527" w:type="dxa"/>
            <w:tcBorders>
              <w:bottom w:val="single" w:sz="4" w:space="0" w:color="000000"/>
            </w:tcBorders>
          </w:tcPr>
          <w:p w14:paraId="4D6CE83E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1.729 ±0.237</w:t>
            </w:r>
          </w:p>
        </w:tc>
        <w:tc>
          <w:tcPr>
            <w:tcW w:w="1527" w:type="dxa"/>
            <w:tcBorders>
              <w:bottom w:val="single" w:sz="4" w:space="0" w:color="000000"/>
            </w:tcBorders>
          </w:tcPr>
          <w:p w14:paraId="66166491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0.370 ±0.113</w:t>
            </w:r>
          </w:p>
        </w:tc>
        <w:tc>
          <w:tcPr>
            <w:tcW w:w="1527" w:type="dxa"/>
            <w:tcBorders>
              <w:bottom w:val="single" w:sz="4" w:space="0" w:color="000000"/>
            </w:tcBorders>
          </w:tcPr>
          <w:p w14:paraId="041D0AE9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0.366 ±0.129</w:t>
            </w:r>
          </w:p>
        </w:tc>
        <w:tc>
          <w:tcPr>
            <w:tcW w:w="1527" w:type="dxa"/>
            <w:tcBorders>
              <w:bottom w:val="single" w:sz="4" w:space="0" w:color="000000"/>
            </w:tcBorders>
          </w:tcPr>
          <w:p w14:paraId="69384643" w14:textId="77777777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0.026 ±0.221</w:t>
            </w:r>
          </w:p>
        </w:tc>
        <w:tc>
          <w:tcPr>
            <w:tcW w:w="2140" w:type="dxa"/>
            <w:tcBorders>
              <w:bottom w:val="single" w:sz="4" w:space="0" w:color="000000"/>
            </w:tcBorders>
          </w:tcPr>
          <w:p w14:paraId="2EEC6C55" w14:textId="4B8820AD" w:rsidR="00593C48" w:rsidRPr="00593C48" w:rsidRDefault="00593C48" w:rsidP="00593C48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Takayama et al., 2013</w:t>
            </w:r>
          </w:p>
        </w:tc>
      </w:tr>
      <w:bookmarkEnd w:id="0"/>
    </w:tbl>
    <w:p w14:paraId="2B038407" w14:textId="77777777" w:rsidR="00855B46" w:rsidRDefault="00855B46" w:rsidP="00427DFE">
      <w:pPr>
        <w:spacing w:before="160"/>
        <w:rPr>
          <w:rFonts w:ascii="Times New Roman" w:hAnsi="Times New Roman" w:cs="Times New Roman"/>
          <w:b/>
          <w:bCs/>
        </w:rPr>
      </w:pPr>
    </w:p>
    <w:p w14:paraId="550D869D" w14:textId="77777777" w:rsidR="00855B46" w:rsidRDefault="00855B46" w:rsidP="00427DFE">
      <w:pPr>
        <w:spacing w:before="160"/>
        <w:rPr>
          <w:rFonts w:ascii="Times New Roman" w:hAnsi="Times New Roman" w:cs="Times New Roman"/>
          <w:b/>
          <w:bCs/>
        </w:rPr>
      </w:pPr>
    </w:p>
    <w:p w14:paraId="1ED7AF05" w14:textId="77777777" w:rsidR="00855B46" w:rsidRDefault="00855B46" w:rsidP="00427DFE">
      <w:pPr>
        <w:spacing w:before="160"/>
        <w:rPr>
          <w:rFonts w:ascii="Times New Roman" w:hAnsi="Times New Roman" w:cs="Times New Roman"/>
          <w:b/>
          <w:bCs/>
        </w:rPr>
      </w:pPr>
    </w:p>
    <w:p w14:paraId="73086EE0" w14:textId="77777777" w:rsidR="00855B46" w:rsidRDefault="00855B46" w:rsidP="00427DFE">
      <w:pPr>
        <w:spacing w:before="160"/>
        <w:rPr>
          <w:rFonts w:ascii="Times New Roman" w:hAnsi="Times New Roman" w:cs="Times New Roman"/>
          <w:b/>
          <w:bCs/>
        </w:rPr>
      </w:pPr>
    </w:p>
    <w:p w14:paraId="7EE4277A" w14:textId="77777777" w:rsidR="00855B46" w:rsidRDefault="00855B46" w:rsidP="00427DFE">
      <w:pPr>
        <w:spacing w:before="160"/>
        <w:rPr>
          <w:rFonts w:ascii="Times New Roman" w:hAnsi="Times New Roman" w:cs="Times New Roman"/>
          <w:b/>
          <w:bCs/>
        </w:rPr>
      </w:pPr>
    </w:p>
    <w:p w14:paraId="2CED81D3" w14:textId="3F9B98BC" w:rsidR="00855B46" w:rsidRPr="00593C48" w:rsidRDefault="00855B46" w:rsidP="00855B46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340"/>
        <w:jc w:val="both"/>
        <w:rPr>
          <w:rFonts w:ascii="Times New Roman" w:eastAsia="Times New Roman" w:hAnsi="Times New Roman" w:cs="Times New Roman"/>
          <w:b/>
          <w:kern w:val="0"/>
          <w:lang w:val="en"/>
          <w14:ligatures w14:val="none"/>
        </w:rPr>
      </w:pPr>
      <w:r w:rsidRPr="00593C48">
        <w:rPr>
          <w:rFonts w:ascii="Times New Roman" w:eastAsia="Times New Roman" w:hAnsi="Times New Roman" w:cs="Times New Roman"/>
          <w:b/>
          <w:kern w:val="0"/>
          <w:lang w:val="en"/>
          <w14:ligatures w14:val="none"/>
        </w:rPr>
        <w:lastRenderedPageBreak/>
        <w:t>TABLE 2</w:t>
      </w:r>
      <w:r w:rsidR="003511AE">
        <w:rPr>
          <w:rFonts w:ascii="Times New Roman" w:eastAsia="Times New Roman" w:hAnsi="Times New Roman" w:cs="Times New Roman"/>
          <w:b/>
          <w:kern w:val="0"/>
          <w:lang w:val="en"/>
          <w14:ligatures w14:val="none"/>
        </w:rPr>
        <w:t>.2</w:t>
      </w:r>
      <w:r w:rsidRPr="00593C48">
        <w:rPr>
          <w:rFonts w:ascii="Times New Roman" w:eastAsia="Times New Roman" w:hAnsi="Times New Roman" w:cs="Times New Roman"/>
          <w:b/>
          <w:kern w:val="0"/>
          <w:lang w:val="en"/>
          <w14:ligatures w14:val="none"/>
        </w:rPr>
        <w:t xml:space="preserve"> 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Estimates of genetic diversity and total inbreeding for each dataset that used </w:t>
      </w:r>
      <w:r w:rsidR="003511AE" w:rsidRPr="00EF5E34">
        <w:rPr>
          <w:rFonts w:ascii="Times New Roman" w:eastAsia="Times New Roman" w:hAnsi="Times New Roman" w:cs="Times New Roman"/>
          <w:b/>
          <w:bCs/>
          <w:kern w:val="0"/>
          <w:lang w:val="en"/>
          <w14:ligatures w14:val="none"/>
        </w:rPr>
        <w:t>SNP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 as marker. Species: </w:t>
      </w:r>
      <w:r w:rsidRPr="00593C48">
        <w:rPr>
          <w:rFonts w:ascii="Times New Roman" w:eastAsia="Times New Roman" w:hAnsi="Times New Roman" w:cs="Times New Roman"/>
          <w:i/>
          <w:kern w:val="0"/>
          <w:lang w:val="en"/>
          <w14:ligatures w14:val="none"/>
        </w:rPr>
        <w:t>A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. </w:t>
      </w:r>
      <w:proofErr w:type="spellStart"/>
      <w:r w:rsidRPr="00593C48">
        <w:rPr>
          <w:rFonts w:ascii="Times New Roman" w:eastAsia="Times New Roman" w:hAnsi="Times New Roman" w:cs="Times New Roman"/>
          <w:i/>
          <w:kern w:val="0"/>
          <w:lang w:val="en"/>
          <w14:ligatures w14:val="none"/>
        </w:rPr>
        <w:t>germinans</w:t>
      </w:r>
      <w:proofErr w:type="spellEnd"/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 (</w:t>
      </w:r>
      <w:r w:rsidRPr="00593C48">
        <w:rPr>
          <w:rFonts w:ascii="Times New Roman" w:eastAsia="Times New Roman" w:hAnsi="Times New Roman" w:cs="Times New Roman"/>
          <w:iCs/>
          <w:kern w:val="0"/>
          <w:lang w:val="en"/>
          <w14:ligatures w14:val="none"/>
        </w:rPr>
        <w:t>Ag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), </w:t>
      </w:r>
      <w:r w:rsidRPr="00593C48">
        <w:rPr>
          <w:rFonts w:ascii="Times New Roman" w:eastAsia="Times New Roman" w:hAnsi="Times New Roman" w:cs="Times New Roman"/>
          <w:i/>
          <w:kern w:val="0"/>
          <w:lang w:val="en"/>
          <w14:ligatures w14:val="none"/>
        </w:rPr>
        <w:t>A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. </w:t>
      </w:r>
      <w:proofErr w:type="spellStart"/>
      <w:r w:rsidRPr="00593C48">
        <w:rPr>
          <w:rFonts w:ascii="Times New Roman" w:eastAsia="Times New Roman" w:hAnsi="Times New Roman" w:cs="Times New Roman"/>
          <w:i/>
          <w:kern w:val="0"/>
          <w:lang w:val="en"/>
          <w14:ligatures w14:val="none"/>
        </w:rPr>
        <w:t>schaueriana</w:t>
      </w:r>
      <w:proofErr w:type="spellEnd"/>
      <w:r w:rsidRPr="00593C48">
        <w:rPr>
          <w:rFonts w:ascii="Times New Roman" w:eastAsia="Times New Roman" w:hAnsi="Times New Roman" w:cs="Times New Roman"/>
          <w:iCs/>
          <w:kern w:val="0"/>
          <w:lang w:val="en"/>
          <w14:ligatures w14:val="none"/>
        </w:rPr>
        <w:t xml:space="preserve"> (As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), </w:t>
      </w:r>
      <w:r w:rsidRPr="00593C48">
        <w:rPr>
          <w:rFonts w:ascii="Times New Roman" w:eastAsia="Times New Roman" w:hAnsi="Times New Roman" w:cs="Times New Roman"/>
          <w:i/>
          <w:kern w:val="0"/>
          <w:lang w:val="en"/>
          <w14:ligatures w14:val="none"/>
        </w:rPr>
        <w:t>L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. </w:t>
      </w:r>
      <w:r w:rsidRPr="00593C48">
        <w:rPr>
          <w:rFonts w:ascii="Times New Roman" w:eastAsia="Times New Roman" w:hAnsi="Times New Roman" w:cs="Times New Roman"/>
          <w:i/>
          <w:kern w:val="0"/>
          <w:lang w:val="en"/>
          <w14:ligatures w14:val="none"/>
        </w:rPr>
        <w:t xml:space="preserve">racemosa </w:t>
      </w:r>
      <w:r w:rsidRPr="00593C48">
        <w:rPr>
          <w:rFonts w:ascii="Times New Roman" w:eastAsia="Times New Roman" w:hAnsi="Times New Roman" w:cs="Times New Roman"/>
          <w:iCs/>
          <w:kern w:val="0"/>
          <w:lang w:val="en"/>
          <w14:ligatures w14:val="none"/>
        </w:rPr>
        <w:t>(Lr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), and </w:t>
      </w:r>
      <w:r w:rsidRPr="00593C48">
        <w:rPr>
          <w:rFonts w:ascii="Times New Roman" w:eastAsia="Times New Roman" w:hAnsi="Times New Roman" w:cs="Times New Roman"/>
          <w:i/>
          <w:kern w:val="0"/>
          <w:lang w:val="en"/>
          <w14:ligatures w14:val="none"/>
        </w:rPr>
        <w:t>R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 xml:space="preserve">. </w:t>
      </w:r>
      <w:r w:rsidRPr="00593C48">
        <w:rPr>
          <w:rFonts w:ascii="Times New Roman" w:eastAsia="Times New Roman" w:hAnsi="Times New Roman" w:cs="Times New Roman"/>
          <w:i/>
          <w:kern w:val="0"/>
          <w:lang w:val="en"/>
          <w14:ligatures w14:val="none"/>
        </w:rPr>
        <w:t xml:space="preserve">mangle </w:t>
      </w:r>
      <w:r w:rsidRPr="00593C48">
        <w:rPr>
          <w:rFonts w:ascii="Times New Roman" w:eastAsia="Times New Roman" w:hAnsi="Times New Roman" w:cs="Times New Roman"/>
          <w:iCs/>
          <w:kern w:val="0"/>
          <w:lang w:val="en"/>
          <w14:ligatures w14:val="none"/>
        </w:rPr>
        <w:t>(Rm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>); Allelic richness (</w:t>
      </w:r>
      <w:proofErr w:type="spellStart"/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>Ar</w:t>
      </w:r>
      <w:proofErr w:type="spellEnd"/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>); Expected heterozygosity (H</w:t>
      </w:r>
      <w:r w:rsidRPr="00593C48">
        <w:rPr>
          <w:rFonts w:ascii="Times New Roman" w:eastAsia="Times New Roman" w:hAnsi="Times New Roman" w:cs="Times New Roman"/>
          <w:kern w:val="0"/>
          <w:vertAlign w:val="subscript"/>
          <w:lang w:val="en"/>
          <w14:ligatures w14:val="none"/>
        </w:rPr>
        <w:t>E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>); Observed heterozygosity (H</w:t>
      </w:r>
      <w:r w:rsidRPr="00593C48">
        <w:rPr>
          <w:rFonts w:ascii="Times New Roman" w:eastAsia="Times New Roman" w:hAnsi="Times New Roman" w:cs="Times New Roman"/>
          <w:kern w:val="0"/>
          <w:vertAlign w:val="subscript"/>
          <w:lang w:val="en"/>
          <w14:ligatures w14:val="none"/>
        </w:rPr>
        <w:t>O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>); Inbreeding coefficient (F</w:t>
      </w:r>
      <w:r w:rsidRPr="00593C48">
        <w:rPr>
          <w:rFonts w:ascii="Times New Roman" w:eastAsia="Times New Roman" w:hAnsi="Times New Roman" w:cs="Times New Roman"/>
          <w:kern w:val="0"/>
          <w:vertAlign w:val="subscript"/>
          <w:lang w:val="en"/>
          <w14:ligatures w14:val="none"/>
        </w:rPr>
        <w:t>IS</w:t>
      </w:r>
      <w:r w:rsidRPr="00593C48">
        <w:rPr>
          <w:rFonts w:ascii="Times New Roman" w:eastAsia="Times New Roman" w:hAnsi="Times New Roman" w:cs="Times New Roman"/>
          <w:kern w:val="0"/>
          <w:lang w:val="en"/>
          <w14:ligatures w14:val="none"/>
        </w:rPr>
        <w:t>); and the reference for each dataset. Results are shown as mean calculated across loci of all populations of each dataset ± standard deviation.</w:t>
      </w:r>
    </w:p>
    <w:tbl>
      <w:tblPr>
        <w:tblW w:w="9776" w:type="dxa"/>
        <w:tblInd w:w="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28"/>
        <w:gridCol w:w="1527"/>
        <w:gridCol w:w="1527"/>
        <w:gridCol w:w="1527"/>
        <w:gridCol w:w="1527"/>
        <w:gridCol w:w="2140"/>
      </w:tblGrid>
      <w:tr w:rsidR="00855B46" w:rsidRPr="00593C48" w14:paraId="10FC78BC" w14:textId="77777777" w:rsidTr="009605DF">
        <w:trPr>
          <w:trHeight w:val="251"/>
        </w:trPr>
        <w:tc>
          <w:tcPr>
            <w:tcW w:w="1528" w:type="dxa"/>
            <w:tcBorders>
              <w:top w:val="single" w:sz="4" w:space="0" w:color="000000"/>
              <w:bottom w:val="single" w:sz="4" w:space="0" w:color="000000"/>
            </w:tcBorders>
          </w:tcPr>
          <w:p w14:paraId="2E9A495B" w14:textId="77777777" w:rsidR="00855B46" w:rsidRPr="00593C48" w:rsidRDefault="00855B46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Species</w:t>
            </w:r>
          </w:p>
        </w:tc>
        <w:tc>
          <w:tcPr>
            <w:tcW w:w="1527" w:type="dxa"/>
            <w:tcBorders>
              <w:top w:val="single" w:sz="4" w:space="0" w:color="000000"/>
              <w:bottom w:val="single" w:sz="4" w:space="0" w:color="000000"/>
            </w:tcBorders>
          </w:tcPr>
          <w:p w14:paraId="6FFCE965" w14:textId="77777777" w:rsidR="00855B46" w:rsidRPr="00593C48" w:rsidRDefault="00855B46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proofErr w:type="spellStart"/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Ar</w:t>
            </w:r>
            <w:proofErr w:type="spellEnd"/>
          </w:p>
        </w:tc>
        <w:tc>
          <w:tcPr>
            <w:tcW w:w="1527" w:type="dxa"/>
            <w:tcBorders>
              <w:top w:val="single" w:sz="4" w:space="0" w:color="000000"/>
              <w:bottom w:val="single" w:sz="4" w:space="0" w:color="000000"/>
            </w:tcBorders>
          </w:tcPr>
          <w:p w14:paraId="5492B084" w14:textId="77777777" w:rsidR="00855B46" w:rsidRPr="00593C48" w:rsidRDefault="00855B46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H</w:t>
            </w:r>
            <w:r w:rsidRPr="00593C48">
              <w:rPr>
                <w:rFonts w:ascii="Times New Roman" w:eastAsia="Times New Roman" w:hAnsi="Times New Roman" w:cs="Times New Roman"/>
                <w:kern w:val="0"/>
                <w:vertAlign w:val="subscript"/>
                <w:lang w:val="en"/>
                <w14:ligatures w14:val="none"/>
              </w:rPr>
              <w:t>E</w:t>
            </w:r>
          </w:p>
        </w:tc>
        <w:tc>
          <w:tcPr>
            <w:tcW w:w="1527" w:type="dxa"/>
            <w:tcBorders>
              <w:top w:val="single" w:sz="4" w:space="0" w:color="000000"/>
              <w:bottom w:val="single" w:sz="4" w:space="0" w:color="000000"/>
            </w:tcBorders>
          </w:tcPr>
          <w:p w14:paraId="1A8A964A" w14:textId="77777777" w:rsidR="00855B46" w:rsidRPr="00593C48" w:rsidRDefault="00855B46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H</w:t>
            </w:r>
            <w:r w:rsidRPr="00593C48">
              <w:rPr>
                <w:rFonts w:ascii="Times New Roman" w:eastAsia="Times New Roman" w:hAnsi="Times New Roman" w:cs="Times New Roman"/>
                <w:kern w:val="0"/>
                <w:vertAlign w:val="subscript"/>
                <w:lang w:val="en"/>
                <w14:ligatures w14:val="none"/>
              </w:rPr>
              <w:t>O</w:t>
            </w:r>
          </w:p>
        </w:tc>
        <w:tc>
          <w:tcPr>
            <w:tcW w:w="1527" w:type="dxa"/>
            <w:tcBorders>
              <w:top w:val="single" w:sz="4" w:space="0" w:color="000000"/>
              <w:bottom w:val="single" w:sz="4" w:space="0" w:color="000000"/>
            </w:tcBorders>
          </w:tcPr>
          <w:p w14:paraId="51B462A8" w14:textId="77777777" w:rsidR="00855B46" w:rsidRPr="00593C48" w:rsidRDefault="00855B46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F</w:t>
            </w:r>
            <w:r w:rsidRPr="00593C48">
              <w:rPr>
                <w:rFonts w:ascii="Times New Roman" w:eastAsia="Times New Roman" w:hAnsi="Times New Roman" w:cs="Times New Roman"/>
                <w:kern w:val="0"/>
                <w:vertAlign w:val="subscript"/>
                <w:lang w:val="en"/>
                <w14:ligatures w14:val="none"/>
              </w:rPr>
              <w:t>IS</w:t>
            </w:r>
          </w:p>
        </w:tc>
        <w:tc>
          <w:tcPr>
            <w:tcW w:w="2140" w:type="dxa"/>
            <w:tcBorders>
              <w:top w:val="single" w:sz="4" w:space="0" w:color="000000"/>
              <w:bottom w:val="single" w:sz="4" w:space="0" w:color="000000"/>
            </w:tcBorders>
          </w:tcPr>
          <w:p w14:paraId="1039B5B4" w14:textId="77777777" w:rsidR="00855B46" w:rsidRPr="00593C48" w:rsidRDefault="00855B46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References</w:t>
            </w:r>
          </w:p>
        </w:tc>
      </w:tr>
      <w:tr w:rsidR="00855B46" w:rsidRPr="00593C48" w14:paraId="256DA478" w14:textId="77777777" w:rsidTr="009605DF">
        <w:trPr>
          <w:trHeight w:val="635"/>
        </w:trPr>
        <w:tc>
          <w:tcPr>
            <w:tcW w:w="1528" w:type="dxa"/>
          </w:tcPr>
          <w:p w14:paraId="40B07C91" w14:textId="77777777" w:rsidR="00855B46" w:rsidRPr="00C94FF7" w:rsidRDefault="00855B46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C94FF7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Ag</w:t>
            </w:r>
          </w:p>
        </w:tc>
        <w:tc>
          <w:tcPr>
            <w:tcW w:w="1527" w:type="dxa"/>
          </w:tcPr>
          <w:p w14:paraId="4DA7B053" w14:textId="45CC8CBC" w:rsidR="00855B46" w:rsidRPr="00C94FF7" w:rsidRDefault="0044739D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C94FF7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1.242</w:t>
            </w:r>
            <w:r w:rsidR="001452D2" w:rsidRPr="00C94FF7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="00334220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0.210</w:t>
            </w:r>
          </w:p>
        </w:tc>
        <w:tc>
          <w:tcPr>
            <w:tcW w:w="1527" w:type="dxa"/>
          </w:tcPr>
          <w:p w14:paraId="35243E57" w14:textId="12F62CCD" w:rsidR="00855B46" w:rsidRPr="00C94FF7" w:rsidRDefault="0044739D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C94FF7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0.246</w:t>
            </w:r>
            <w:r w:rsidR="001452D2" w:rsidRPr="00C94FF7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="001452D2" w:rsidRPr="00C94FF7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0.13</w:t>
            </w:r>
            <w:r w:rsidR="001452D2" w:rsidRPr="00C94FF7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2</w:t>
            </w:r>
          </w:p>
        </w:tc>
        <w:tc>
          <w:tcPr>
            <w:tcW w:w="1527" w:type="dxa"/>
          </w:tcPr>
          <w:p w14:paraId="4A784F72" w14:textId="64F53EA3" w:rsidR="00855B46" w:rsidRPr="00C94FF7" w:rsidRDefault="00EF5E34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C94FF7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0.271</w:t>
            </w:r>
            <w:r w:rsidR="001452D2" w:rsidRPr="00C94FF7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="00C94FF7" w:rsidRPr="00C94FF7">
              <w:rPr>
                <w:rFonts w:ascii="Times New Roman" w:eastAsia="Times New Roman" w:hAnsi="Times New Roman" w:cs="Times New Roman"/>
                <w:color w:val="000000"/>
                <w:kern w:val="0"/>
                <w:bdr w:val="none" w:sz="0" w:space="0" w:color="auto" w:frame="1"/>
                <w:lang w:val="en-US" w:eastAsia="pt-BR"/>
                <w14:ligatures w14:val="none"/>
              </w:rPr>
              <w:t>0.232</w:t>
            </w:r>
          </w:p>
        </w:tc>
        <w:tc>
          <w:tcPr>
            <w:tcW w:w="1527" w:type="dxa"/>
          </w:tcPr>
          <w:p w14:paraId="048C98F7" w14:textId="29E8B73E" w:rsidR="00855B46" w:rsidRPr="00C94FF7" w:rsidRDefault="0044739D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C94FF7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-0.101</w:t>
            </w:r>
            <w:r w:rsidR="001452D2" w:rsidRPr="00C94FF7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="00C94FF7" w:rsidRPr="00C94FF7">
              <w:rPr>
                <w:rFonts w:ascii="Times New Roman" w:eastAsia="Times New Roman" w:hAnsi="Times New Roman" w:cs="Times New Roman"/>
                <w:color w:val="000000"/>
                <w:kern w:val="0"/>
                <w:bdr w:val="none" w:sz="0" w:space="0" w:color="auto" w:frame="1"/>
                <w:lang w:val="en-US" w:eastAsia="pt-BR"/>
                <w14:ligatures w14:val="none"/>
              </w:rPr>
              <w:t>0.378</w:t>
            </w:r>
          </w:p>
        </w:tc>
        <w:tc>
          <w:tcPr>
            <w:tcW w:w="2140" w:type="dxa"/>
          </w:tcPr>
          <w:p w14:paraId="20D4F953" w14:textId="66E20741" w:rsidR="00855B46" w:rsidRPr="00C94FF7" w:rsidRDefault="00185FC2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C94FF7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Cruz et al., 2020</w:t>
            </w:r>
          </w:p>
        </w:tc>
      </w:tr>
      <w:tr w:rsidR="00855B46" w:rsidRPr="00593C48" w14:paraId="4880EAD9" w14:textId="77777777" w:rsidTr="009605DF">
        <w:trPr>
          <w:trHeight w:val="635"/>
        </w:trPr>
        <w:tc>
          <w:tcPr>
            <w:tcW w:w="1528" w:type="dxa"/>
          </w:tcPr>
          <w:p w14:paraId="3E35500E" w14:textId="77777777" w:rsidR="00855B46" w:rsidRPr="00593C48" w:rsidRDefault="00855B46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As</w:t>
            </w:r>
          </w:p>
        </w:tc>
        <w:tc>
          <w:tcPr>
            <w:tcW w:w="1527" w:type="dxa"/>
          </w:tcPr>
          <w:p w14:paraId="1E4D00FB" w14:textId="7ECE3DFA" w:rsidR="00855B46" w:rsidRPr="00593C48" w:rsidRDefault="00766B6B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766B6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1.56</w:t>
            </w:r>
            <w:r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7</w:t>
            </w:r>
            <w:r w:rsidRPr="00C94FF7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="006901DC" w:rsidRPr="006901D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0.354</w:t>
            </w:r>
          </w:p>
        </w:tc>
        <w:tc>
          <w:tcPr>
            <w:tcW w:w="1527" w:type="dxa"/>
          </w:tcPr>
          <w:p w14:paraId="0B2B5323" w14:textId="2649DE31" w:rsidR="00855B46" w:rsidRPr="00593C48" w:rsidRDefault="005F0E3B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F0E3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0.304</w:t>
            </w:r>
            <w:r w:rsidR="006F5A09" w:rsidRPr="006F5A09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="006F5A09" w:rsidRPr="006F5A09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0.160</w:t>
            </w:r>
          </w:p>
        </w:tc>
        <w:tc>
          <w:tcPr>
            <w:tcW w:w="1527" w:type="dxa"/>
          </w:tcPr>
          <w:p w14:paraId="182110CD" w14:textId="67474A20" w:rsidR="00855B46" w:rsidRPr="00593C48" w:rsidRDefault="006901DC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6901DC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0.43</w:t>
            </w:r>
            <w:r w:rsidR="005F0E3B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9</w:t>
            </w:r>
            <w:r w:rsidR="006F5A09" w:rsidRPr="006F5A09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="006F5A09" w:rsidRPr="006F5A09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0.31</w:t>
            </w:r>
            <w:r w:rsidR="006F5A09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8</w:t>
            </w:r>
          </w:p>
        </w:tc>
        <w:tc>
          <w:tcPr>
            <w:tcW w:w="1527" w:type="dxa"/>
          </w:tcPr>
          <w:p w14:paraId="478E4CF5" w14:textId="13C6D786" w:rsidR="00855B46" w:rsidRPr="00593C48" w:rsidRDefault="006F5A09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6F5A09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-0.442</w:t>
            </w:r>
            <w:r w:rsidRPr="006F5A09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Pr="006F5A09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0.397</w:t>
            </w:r>
          </w:p>
        </w:tc>
        <w:tc>
          <w:tcPr>
            <w:tcW w:w="2140" w:type="dxa"/>
          </w:tcPr>
          <w:p w14:paraId="392B2D98" w14:textId="27879ABC" w:rsidR="00855B46" w:rsidRPr="00593C48" w:rsidRDefault="00185FC2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185FC2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Cruz et al., 2019</w:t>
            </w:r>
          </w:p>
        </w:tc>
      </w:tr>
      <w:tr w:rsidR="00855B46" w:rsidRPr="00593C48" w14:paraId="02C13240" w14:textId="77777777" w:rsidTr="009605DF">
        <w:trPr>
          <w:trHeight w:val="635"/>
        </w:trPr>
        <w:tc>
          <w:tcPr>
            <w:tcW w:w="1528" w:type="dxa"/>
          </w:tcPr>
          <w:p w14:paraId="14BE5D61" w14:textId="77777777" w:rsidR="00855B46" w:rsidRPr="00593C48" w:rsidRDefault="00855B46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Lr</w:t>
            </w:r>
          </w:p>
        </w:tc>
        <w:tc>
          <w:tcPr>
            <w:tcW w:w="1527" w:type="dxa"/>
          </w:tcPr>
          <w:p w14:paraId="6610FDD8" w14:textId="7846A79B" w:rsidR="00855B46" w:rsidRPr="00593C48" w:rsidRDefault="00E067DA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E067D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1.10</w:t>
            </w:r>
            <w:r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4</w:t>
            </w:r>
            <w:r w:rsidR="00BC3D92" w:rsidRPr="00C94FF7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="00BC3D92" w:rsidRPr="00BC3D9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0.23</w:t>
            </w:r>
            <w:r w:rsidR="00BC3D9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1527" w:type="dxa"/>
          </w:tcPr>
          <w:p w14:paraId="34E73CBC" w14:textId="1BA2A66A" w:rsidR="00855B46" w:rsidRPr="00593C48" w:rsidRDefault="001A69AF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1A69AF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0.118</w:t>
            </w:r>
            <w:r w:rsidR="00CD4A25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r w:rsidR="00CD4A25" w:rsidRPr="00CD4A25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±</w:t>
            </w:r>
            <w:r w:rsidR="00CD4A25" w:rsidRPr="00CD4A25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0.10</w:t>
            </w:r>
            <w:r w:rsidR="00CD4A25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3</w:t>
            </w:r>
          </w:p>
        </w:tc>
        <w:tc>
          <w:tcPr>
            <w:tcW w:w="1527" w:type="dxa"/>
          </w:tcPr>
          <w:p w14:paraId="2611B60A" w14:textId="6F3D6F27" w:rsidR="00855B46" w:rsidRPr="00593C48" w:rsidRDefault="001A69AF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1A69AF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0.09</w:t>
            </w:r>
            <w:r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8</w:t>
            </w:r>
            <w:r w:rsidR="00CD4A25" w:rsidRPr="00CD4A25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 </w:t>
            </w:r>
            <w:r w:rsidR="00CD4A25" w:rsidRPr="00CD4A25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±</w:t>
            </w:r>
            <w:r w:rsidR="00CD4A25" w:rsidRPr="00CD4A25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0.17</w:t>
            </w:r>
            <w:r w:rsidR="00CD4A25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7</w:t>
            </w:r>
          </w:p>
        </w:tc>
        <w:tc>
          <w:tcPr>
            <w:tcW w:w="1527" w:type="dxa"/>
          </w:tcPr>
          <w:p w14:paraId="10816AE3" w14:textId="5359E416" w:rsidR="00855B46" w:rsidRPr="00593C48" w:rsidRDefault="00CD4A25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CD4A25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 xml:space="preserve">0.171 </w:t>
            </w:r>
            <w:r w:rsidRPr="00CD4A25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±</w:t>
            </w:r>
            <w:r w:rsidR="006E595A" w:rsidRPr="006E595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0.50</w:t>
            </w:r>
            <w:r w:rsidR="006E595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7</w:t>
            </w:r>
          </w:p>
        </w:tc>
        <w:tc>
          <w:tcPr>
            <w:tcW w:w="2140" w:type="dxa"/>
          </w:tcPr>
          <w:p w14:paraId="4FEE445B" w14:textId="44F2FC0C" w:rsidR="00855B46" w:rsidRPr="00593C48" w:rsidRDefault="00185FC2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185FC2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Hodel et al., 2018</w:t>
            </w:r>
          </w:p>
        </w:tc>
      </w:tr>
      <w:tr w:rsidR="00855B46" w:rsidRPr="00593C48" w14:paraId="34DC992C" w14:textId="77777777" w:rsidTr="009605DF">
        <w:trPr>
          <w:trHeight w:val="635"/>
        </w:trPr>
        <w:tc>
          <w:tcPr>
            <w:tcW w:w="1528" w:type="dxa"/>
          </w:tcPr>
          <w:p w14:paraId="48B176E6" w14:textId="77777777" w:rsidR="00855B46" w:rsidRPr="00593C48" w:rsidRDefault="00855B46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Rm</w:t>
            </w:r>
          </w:p>
        </w:tc>
        <w:tc>
          <w:tcPr>
            <w:tcW w:w="1527" w:type="dxa"/>
          </w:tcPr>
          <w:p w14:paraId="5B2B317E" w14:textId="4CBABAB7" w:rsidR="00855B46" w:rsidRPr="00593C48" w:rsidRDefault="00F95F7C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F95F7C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1.31</w:t>
            </w:r>
            <w:r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7</w:t>
            </w:r>
            <w:r w:rsidRPr="00C94FF7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Pr="00F95F7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0.22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1527" w:type="dxa"/>
          </w:tcPr>
          <w:p w14:paraId="23169ABF" w14:textId="74E2B040" w:rsidR="00855B46" w:rsidRPr="00593C48" w:rsidRDefault="00F95F7C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F95F7C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0.311</w:t>
            </w:r>
            <w:r w:rsidRPr="00C94FF7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Pr="00F95F7C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0.15</w:t>
            </w:r>
            <w:r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3</w:t>
            </w:r>
          </w:p>
        </w:tc>
        <w:tc>
          <w:tcPr>
            <w:tcW w:w="1527" w:type="dxa"/>
          </w:tcPr>
          <w:p w14:paraId="353B6169" w14:textId="6A6AEB6A" w:rsidR="00855B46" w:rsidRPr="00593C48" w:rsidRDefault="00F95F7C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F95F7C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0.399</w:t>
            </w:r>
            <w:r w:rsidRPr="00C94FF7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Pr="00F95F7C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0.35</w:t>
            </w:r>
            <w:r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9</w:t>
            </w:r>
          </w:p>
        </w:tc>
        <w:tc>
          <w:tcPr>
            <w:tcW w:w="1527" w:type="dxa"/>
          </w:tcPr>
          <w:p w14:paraId="4214D2AF" w14:textId="08D4C720" w:rsidR="00855B46" w:rsidRPr="00593C48" w:rsidRDefault="00F95F7C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F95F7C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-0.283</w:t>
            </w:r>
            <w:r w:rsidRPr="00C94FF7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Pr="00F95F7C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0.580</w:t>
            </w:r>
          </w:p>
        </w:tc>
        <w:tc>
          <w:tcPr>
            <w:tcW w:w="2140" w:type="dxa"/>
          </w:tcPr>
          <w:p w14:paraId="33E35FBD" w14:textId="1D4FBF5C" w:rsidR="00855B46" w:rsidRPr="00593C48" w:rsidRDefault="00185FC2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85FC2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Hodel et al., 2017</w:t>
            </w:r>
          </w:p>
        </w:tc>
      </w:tr>
      <w:tr w:rsidR="00855B46" w:rsidRPr="00593C48" w14:paraId="29F3C7D3" w14:textId="77777777" w:rsidTr="009605DF">
        <w:trPr>
          <w:trHeight w:val="635"/>
        </w:trPr>
        <w:tc>
          <w:tcPr>
            <w:tcW w:w="1528" w:type="dxa"/>
          </w:tcPr>
          <w:p w14:paraId="0DECF9B7" w14:textId="77777777" w:rsidR="00855B46" w:rsidRPr="00593C48" w:rsidRDefault="00855B46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Rm</w:t>
            </w:r>
          </w:p>
        </w:tc>
        <w:tc>
          <w:tcPr>
            <w:tcW w:w="1527" w:type="dxa"/>
          </w:tcPr>
          <w:p w14:paraId="573494F5" w14:textId="594C0099" w:rsidR="00855B46" w:rsidRPr="00593C48" w:rsidRDefault="008B4042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8B4042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1.063</w:t>
            </w:r>
            <w:r w:rsidRPr="008B4042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Pr="008B40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0.180</w:t>
            </w:r>
          </w:p>
        </w:tc>
        <w:tc>
          <w:tcPr>
            <w:tcW w:w="1527" w:type="dxa"/>
          </w:tcPr>
          <w:p w14:paraId="17434CAE" w14:textId="57AFA468" w:rsidR="00855B46" w:rsidRPr="00593C48" w:rsidRDefault="00620727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620727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0.06</w:t>
            </w:r>
            <w:r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3</w:t>
            </w:r>
            <w:r w:rsidRPr="008B4042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Pr="00620727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0.08</w:t>
            </w:r>
            <w:r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5</w:t>
            </w:r>
          </w:p>
        </w:tc>
        <w:tc>
          <w:tcPr>
            <w:tcW w:w="1527" w:type="dxa"/>
          </w:tcPr>
          <w:p w14:paraId="0BE1623E" w14:textId="369F3938" w:rsidR="00855B46" w:rsidRPr="00593C48" w:rsidRDefault="00620727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620727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0.05</w:t>
            </w:r>
            <w:r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8</w:t>
            </w:r>
            <w:r w:rsidRPr="008B4042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="00842AFA" w:rsidRPr="00842AFA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0.092</w:t>
            </w:r>
          </w:p>
        </w:tc>
        <w:tc>
          <w:tcPr>
            <w:tcW w:w="1527" w:type="dxa"/>
          </w:tcPr>
          <w:p w14:paraId="60828C62" w14:textId="007DE25F" w:rsidR="00855B46" w:rsidRPr="00593C48" w:rsidRDefault="00620727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620727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0.081</w:t>
            </w:r>
            <w:r w:rsidRPr="008B4042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Pr="00620727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0.44</w:t>
            </w:r>
            <w:r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1</w:t>
            </w:r>
          </w:p>
        </w:tc>
        <w:tc>
          <w:tcPr>
            <w:tcW w:w="2140" w:type="dxa"/>
          </w:tcPr>
          <w:p w14:paraId="0B507DB9" w14:textId="6C761011" w:rsidR="00855B46" w:rsidRPr="00593C48" w:rsidRDefault="005B053E" w:rsidP="009605DF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B053E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Hodel et al., 2018</w:t>
            </w:r>
          </w:p>
        </w:tc>
      </w:tr>
      <w:tr w:rsidR="00EF5E34" w:rsidRPr="00593C48" w14:paraId="53088C4C" w14:textId="77777777" w:rsidTr="009605DF">
        <w:trPr>
          <w:trHeight w:val="635"/>
        </w:trPr>
        <w:tc>
          <w:tcPr>
            <w:tcW w:w="1528" w:type="dxa"/>
            <w:tcBorders>
              <w:bottom w:val="single" w:sz="4" w:space="0" w:color="000000"/>
            </w:tcBorders>
          </w:tcPr>
          <w:p w14:paraId="77C42523" w14:textId="7C92CC13" w:rsidR="00EF5E34" w:rsidRPr="00593C48" w:rsidRDefault="00EF5E34" w:rsidP="00EF5E34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593C48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Rm</w:t>
            </w:r>
          </w:p>
        </w:tc>
        <w:tc>
          <w:tcPr>
            <w:tcW w:w="1527" w:type="dxa"/>
            <w:tcBorders>
              <w:bottom w:val="single" w:sz="4" w:space="0" w:color="000000"/>
            </w:tcBorders>
          </w:tcPr>
          <w:p w14:paraId="377482EE" w14:textId="622D7D8B" w:rsidR="00B73750" w:rsidRPr="00B73750" w:rsidRDefault="00B73750" w:rsidP="00B73750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3750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1.9</w:t>
            </w:r>
            <w:r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10</w:t>
            </w:r>
            <w:r w:rsidRPr="00B73750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Pr="00B7375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0.247</w:t>
            </w:r>
          </w:p>
          <w:p w14:paraId="3AD19518" w14:textId="0BCFC678" w:rsidR="00EF5E34" w:rsidRPr="00593C48" w:rsidRDefault="00EF5E34" w:rsidP="00EF5E34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</w:p>
        </w:tc>
        <w:tc>
          <w:tcPr>
            <w:tcW w:w="1527" w:type="dxa"/>
            <w:tcBorders>
              <w:bottom w:val="single" w:sz="4" w:space="0" w:color="000000"/>
            </w:tcBorders>
          </w:tcPr>
          <w:p w14:paraId="15518A6B" w14:textId="6651C88F" w:rsidR="00EF5E34" w:rsidRPr="00593C48" w:rsidRDefault="00B73750" w:rsidP="00EF5E34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B73750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0.286</w:t>
            </w:r>
            <w:r w:rsidRPr="00B73750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Pr="00B73750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0.149</w:t>
            </w:r>
          </w:p>
        </w:tc>
        <w:tc>
          <w:tcPr>
            <w:tcW w:w="1527" w:type="dxa"/>
            <w:tcBorders>
              <w:bottom w:val="single" w:sz="4" w:space="0" w:color="000000"/>
            </w:tcBorders>
          </w:tcPr>
          <w:p w14:paraId="7437F665" w14:textId="6D470DF7" w:rsidR="00EF5E34" w:rsidRPr="00593C48" w:rsidRDefault="00B73750" w:rsidP="00EF5E34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B73750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0.08</w:t>
            </w:r>
            <w:r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4</w:t>
            </w:r>
            <w:r w:rsidRPr="00B73750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Pr="00B73750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0.108</w:t>
            </w:r>
          </w:p>
        </w:tc>
        <w:tc>
          <w:tcPr>
            <w:tcW w:w="1527" w:type="dxa"/>
            <w:tcBorders>
              <w:bottom w:val="single" w:sz="4" w:space="0" w:color="000000"/>
            </w:tcBorders>
          </w:tcPr>
          <w:p w14:paraId="21F4847E" w14:textId="1A9F5182" w:rsidR="00EF5E34" w:rsidRPr="00593C48" w:rsidRDefault="00B73750" w:rsidP="00EF5E34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B73750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0.707</w:t>
            </w:r>
            <w:r w:rsidRPr="00B73750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 xml:space="preserve"> ±</w:t>
            </w:r>
            <w:r w:rsidRPr="00B73750">
              <w:rPr>
                <w:rFonts w:ascii="Times New Roman" w:eastAsia="Times New Roman" w:hAnsi="Times New Roman" w:cs="Times New Roman"/>
                <w:kern w:val="0"/>
                <w:lang w:val="en-US"/>
                <w14:ligatures w14:val="none"/>
              </w:rPr>
              <w:t>0.334</w:t>
            </w:r>
          </w:p>
        </w:tc>
        <w:tc>
          <w:tcPr>
            <w:tcW w:w="2140" w:type="dxa"/>
            <w:tcBorders>
              <w:bottom w:val="single" w:sz="4" w:space="0" w:color="000000"/>
            </w:tcBorders>
          </w:tcPr>
          <w:p w14:paraId="3C8B9CBB" w14:textId="3C4B873B" w:rsidR="00EF5E34" w:rsidRPr="00593C48" w:rsidRDefault="00EF5E34" w:rsidP="00EF5E34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</w:pPr>
            <w:r w:rsidRPr="00EF5E34">
              <w:rPr>
                <w:rFonts w:ascii="Times New Roman" w:eastAsia="Times New Roman" w:hAnsi="Times New Roman" w:cs="Times New Roman"/>
                <w:kern w:val="0"/>
                <w:lang w:val="en"/>
                <w14:ligatures w14:val="none"/>
              </w:rPr>
              <w:t>Madeira et al., 2023</w:t>
            </w:r>
          </w:p>
        </w:tc>
      </w:tr>
    </w:tbl>
    <w:p w14:paraId="252F078E" w14:textId="5B4E821F" w:rsidR="00603E3D" w:rsidRPr="00427DFE" w:rsidRDefault="00427DFE" w:rsidP="00427DFE">
      <w:pPr>
        <w:spacing w:before="160"/>
        <w:rPr>
          <w:rFonts w:ascii="Times New Roman" w:hAnsi="Times New Roman" w:cs="Times New Roman"/>
          <w:b/>
          <w:bCs/>
        </w:rPr>
      </w:pPr>
      <w:proofErr w:type="spellStart"/>
      <w:r w:rsidRPr="00427DFE">
        <w:rPr>
          <w:rFonts w:ascii="Times New Roman" w:hAnsi="Times New Roman" w:cs="Times New Roman"/>
          <w:b/>
          <w:bCs/>
        </w:rPr>
        <w:t>References</w:t>
      </w:r>
      <w:proofErr w:type="spellEnd"/>
    </w:p>
    <w:p w14:paraId="45102247" w14:textId="77777777" w:rsidR="00E85152" w:rsidRPr="00D85560" w:rsidRDefault="00E85152" w:rsidP="00E85152">
      <w:pPr>
        <w:widowControl w:val="0"/>
        <w:autoSpaceDE w:val="0"/>
        <w:autoSpaceDN w:val="0"/>
        <w:adjustRightInd w:val="0"/>
        <w:spacing w:line="360" w:lineRule="auto"/>
        <w:ind w:left="480" w:hanging="480"/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</w:pPr>
      <w:r w:rsidRPr="00D85560">
        <w:rPr>
          <w:rFonts w:ascii="Times New Roman" w:eastAsia="Calibri" w:hAnsi="Times New Roman" w:cs="Times New Roman"/>
          <w:noProof/>
          <w:kern w:val="0"/>
          <w:szCs w:val="22"/>
          <w14:ligatures w14:val="none"/>
        </w:rPr>
        <w:t xml:space="preserve">Cisneros‐de la Cruz, D. J., Martínez‐Castillo, J., Herrera‐Silveira, J., Yáñez‐Espinosa, L., Ortiz‐García, M., Us‐Santamaria, R., &amp; Andrade, J. L. (2018). </w:t>
      </w:r>
      <w:r w:rsidRPr="00D85560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Short‐distance barriers affect genetic variability of Rhizophora mangle L. in the Yucatan Peninsula. </w:t>
      </w:r>
      <w:r w:rsidRPr="00D85560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Ecology and Evolution</w:t>
      </w:r>
      <w:r w:rsidRPr="00D85560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, </w:t>
      </w:r>
      <w:r w:rsidRPr="00D85560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8</w:t>
      </w:r>
      <w:r w:rsidRPr="00D85560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>(22), 11083–11099. https://doi.org/10.1002/ece3.4575</w:t>
      </w:r>
    </w:p>
    <w:p w14:paraId="16FFE605" w14:textId="77777777" w:rsidR="00E85152" w:rsidRPr="00D85560" w:rsidRDefault="00E85152" w:rsidP="00E85152">
      <w:pPr>
        <w:widowControl w:val="0"/>
        <w:autoSpaceDE w:val="0"/>
        <w:autoSpaceDN w:val="0"/>
        <w:adjustRightInd w:val="0"/>
        <w:spacing w:line="360" w:lineRule="auto"/>
        <w:ind w:left="480" w:hanging="480"/>
        <w:rPr>
          <w:rFonts w:ascii="Times New Roman" w:eastAsia="Calibri" w:hAnsi="Times New Roman" w:cs="Times New Roman"/>
          <w:noProof/>
          <w:kern w:val="0"/>
          <w:szCs w:val="22"/>
          <w14:ligatures w14:val="none"/>
        </w:rPr>
      </w:pPr>
      <w:r w:rsidRPr="00E85152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Cruz, M. V., Mori, G. M., Oh, D. H., Dassanayake, M., Zucchi, M. I., Oliveira, R. S., &amp; Souza, A. P. de. </w:t>
      </w:r>
      <w:r w:rsidRPr="00D85560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(2020). Molecular responses to freshwater limitation in the mangrove tree Avicennia germinans (Acanthaceae). </w:t>
      </w:r>
      <w:r w:rsidRPr="00D85560">
        <w:rPr>
          <w:rFonts w:ascii="Times New Roman" w:eastAsia="Calibri" w:hAnsi="Times New Roman" w:cs="Times New Roman"/>
          <w:i/>
          <w:iCs/>
          <w:noProof/>
          <w:kern w:val="0"/>
          <w:szCs w:val="22"/>
          <w14:ligatures w14:val="none"/>
        </w:rPr>
        <w:t>Molecular Ecology</w:t>
      </w:r>
      <w:r w:rsidRPr="00D85560">
        <w:rPr>
          <w:rFonts w:ascii="Times New Roman" w:eastAsia="Calibri" w:hAnsi="Times New Roman" w:cs="Times New Roman"/>
          <w:noProof/>
          <w:kern w:val="0"/>
          <w:szCs w:val="22"/>
          <w14:ligatures w14:val="none"/>
        </w:rPr>
        <w:t xml:space="preserve">, </w:t>
      </w:r>
      <w:r w:rsidRPr="00D85560">
        <w:rPr>
          <w:rFonts w:ascii="Times New Roman" w:eastAsia="Calibri" w:hAnsi="Times New Roman" w:cs="Times New Roman"/>
          <w:i/>
          <w:iCs/>
          <w:noProof/>
          <w:kern w:val="0"/>
          <w:szCs w:val="22"/>
          <w14:ligatures w14:val="none"/>
        </w:rPr>
        <w:t>29</w:t>
      </w:r>
      <w:r w:rsidRPr="00D85560">
        <w:rPr>
          <w:rFonts w:ascii="Times New Roman" w:eastAsia="Calibri" w:hAnsi="Times New Roman" w:cs="Times New Roman"/>
          <w:noProof/>
          <w:kern w:val="0"/>
          <w:szCs w:val="22"/>
          <w14:ligatures w14:val="none"/>
        </w:rPr>
        <w:t>(2), 344–362. https://doi.org/10.1111/mec.15330</w:t>
      </w:r>
    </w:p>
    <w:p w14:paraId="72281AB1" w14:textId="77777777" w:rsidR="00E85152" w:rsidRPr="00E347F0" w:rsidRDefault="00E85152" w:rsidP="00E85152">
      <w:pPr>
        <w:widowControl w:val="0"/>
        <w:autoSpaceDE w:val="0"/>
        <w:autoSpaceDN w:val="0"/>
        <w:adjustRightInd w:val="0"/>
        <w:spacing w:line="360" w:lineRule="auto"/>
        <w:ind w:left="480" w:hanging="480"/>
        <w:rPr>
          <w:rFonts w:ascii="Times New Roman" w:eastAsia="Calibri" w:hAnsi="Times New Roman" w:cs="Times New Roman"/>
          <w:noProof/>
          <w:kern w:val="0"/>
          <w:szCs w:val="22"/>
          <w14:ligatures w14:val="none"/>
        </w:rPr>
      </w:pPr>
      <w:r w:rsidRPr="00D85560">
        <w:rPr>
          <w:rFonts w:ascii="Times New Roman" w:eastAsia="Calibri" w:hAnsi="Times New Roman" w:cs="Times New Roman"/>
          <w:noProof/>
          <w:kern w:val="0"/>
          <w:szCs w:val="22"/>
          <w14:ligatures w14:val="none"/>
        </w:rPr>
        <w:t xml:space="preserve">Cruz, M. V., Mori, G. M., Signori-Müller, C., da Silva, C. C., Oh, D. H., Dassanayake, M., Zucchi, M. I., Oliveira, R. S., &amp; de Souza, A. P. (2019). </w:t>
      </w:r>
      <w:r w:rsidRPr="00D85560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Local adaptation of a dominant coastal tree to freshwater availability and solar radiation suggested by genomic and ecophysiological approaches. </w:t>
      </w:r>
      <w:r w:rsidRPr="00E85152">
        <w:rPr>
          <w:rFonts w:ascii="Times New Roman" w:eastAsia="Calibri" w:hAnsi="Times New Roman" w:cs="Times New Roman"/>
          <w:i/>
          <w:iCs/>
          <w:noProof/>
          <w:kern w:val="0"/>
          <w:szCs w:val="22"/>
          <w14:ligatures w14:val="none"/>
        </w:rPr>
        <w:t>Scientific Reports</w:t>
      </w:r>
      <w:r w:rsidRPr="00E85152">
        <w:rPr>
          <w:rFonts w:ascii="Times New Roman" w:eastAsia="Calibri" w:hAnsi="Times New Roman" w:cs="Times New Roman"/>
          <w:noProof/>
          <w:kern w:val="0"/>
          <w:szCs w:val="22"/>
          <w14:ligatures w14:val="none"/>
        </w:rPr>
        <w:t xml:space="preserve">, </w:t>
      </w:r>
      <w:r w:rsidRPr="00E85152">
        <w:rPr>
          <w:rFonts w:ascii="Times New Roman" w:eastAsia="Calibri" w:hAnsi="Times New Roman" w:cs="Times New Roman"/>
          <w:i/>
          <w:iCs/>
          <w:noProof/>
          <w:kern w:val="0"/>
          <w:szCs w:val="22"/>
          <w14:ligatures w14:val="none"/>
        </w:rPr>
        <w:t>9</w:t>
      </w:r>
      <w:r w:rsidRPr="00E85152">
        <w:rPr>
          <w:rFonts w:ascii="Times New Roman" w:eastAsia="Calibri" w:hAnsi="Times New Roman" w:cs="Times New Roman"/>
          <w:noProof/>
          <w:kern w:val="0"/>
          <w:szCs w:val="22"/>
          <w14:ligatures w14:val="none"/>
        </w:rPr>
        <w:t xml:space="preserve">(1), 1–15. </w:t>
      </w:r>
      <w:r w:rsidRPr="00D85560">
        <w:rPr>
          <w:rFonts w:ascii="Times New Roman" w:eastAsia="Calibri" w:hAnsi="Times New Roman" w:cs="Times New Roman"/>
          <w:noProof/>
          <w:kern w:val="0"/>
          <w:szCs w:val="22"/>
          <w14:ligatures w14:val="none"/>
        </w:rPr>
        <w:t>https://doi.org/10.1038/s41598-019-56469-w</w:t>
      </w:r>
    </w:p>
    <w:p w14:paraId="0794E015" w14:textId="77777777" w:rsidR="00E85152" w:rsidRPr="00E347F0" w:rsidRDefault="00E85152" w:rsidP="00E85152">
      <w:pPr>
        <w:widowControl w:val="0"/>
        <w:autoSpaceDE w:val="0"/>
        <w:autoSpaceDN w:val="0"/>
        <w:adjustRightInd w:val="0"/>
        <w:spacing w:line="360" w:lineRule="auto"/>
        <w:ind w:left="480" w:hanging="480"/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</w:pPr>
      <w:r w:rsidRPr="00E347F0">
        <w:rPr>
          <w:rFonts w:ascii="Times New Roman" w:eastAsia="Calibri" w:hAnsi="Times New Roman" w:cs="Times New Roman"/>
          <w:noProof/>
          <w:kern w:val="0"/>
          <w:szCs w:val="22"/>
          <w14:ligatures w14:val="none"/>
        </w:rPr>
        <w:lastRenderedPageBreak/>
        <w:t xml:space="preserve">Francisco, P. M., Mori, G. M., Alves, F. M., Tambarussi, E. V., &amp; de Souza, A. P. (2018). </w:t>
      </w:r>
      <w:r w:rsidRPr="00E347F0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Population genetic structure, introgression, and hybridization in the genus Rhizophora along the Brazilian coast. </w:t>
      </w:r>
      <w:r w:rsidRPr="00E347F0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Ecology and Evolution</w:t>
      </w:r>
      <w:r w:rsidRPr="00E347F0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, </w:t>
      </w:r>
      <w:r w:rsidRPr="00E347F0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8</w:t>
      </w:r>
      <w:r w:rsidRPr="00E347F0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>(6), 3491–3504. https://doi.org/10.1002/ece3.3900</w:t>
      </w:r>
    </w:p>
    <w:p w14:paraId="756528C4" w14:textId="77777777" w:rsidR="00E85152" w:rsidRPr="00E347F0" w:rsidRDefault="00E85152" w:rsidP="00E85152">
      <w:pPr>
        <w:widowControl w:val="0"/>
        <w:autoSpaceDE w:val="0"/>
        <w:autoSpaceDN w:val="0"/>
        <w:adjustRightInd w:val="0"/>
        <w:spacing w:line="360" w:lineRule="auto"/>
        <w:ind w:left="480" w:hanging="480"/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</w:pPr>
      <w:r w:rsidRPr="00E347F0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Hodel, R. G. J., Chen, S., Payton, A. C., Mcdaniel, S. F., Soltis, P., &amp; Soltis, D. E. (2017). Adding loci improves phylogeographic resolution in red mangroves despite increased missing data : comparing microsatellites and RAD-Seq and investigating loci filtering. </w:t>
      </w:r>
      <w:r w:rsidRPr="00E347F0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Scientific Reports</w:t>
      </w:r>
      <w:r w:rsidRPr="00E347F0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, </w:t>
      </w:r>
      <w:r w:rsidRPr="00E347F0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November</w:t>
      </w:r>
      <w:r w:rsidRPr="00E347F0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>, 1–14. https://doi.org/10.1038/s41598-017-16810-7</w:t>
      </w:r>
    </w:p>
    <w:p w14:paraId="44D9EEAC" w14:textId="77777777" w:rsidR="00E85152" w:rsidRPr="00E347F0" w:rsidRDefault="00E85152" w:rsidP="00E85152">
      <w:pPr>
        <w:widowControl w:val="0"/>
        <w:autoSpaceDE w:val="0"/>
        <w:autoSpaceDN w:val="0"/>
        <w:adjustRightInd w:val="0"/>
        <w:spacing w:line="360" w:lineRule="auto"/>
        <w:ind w:left="480" w:hanging="480"/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</w:pPr>
      <w:r w:rsidRPr="00E347F0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Hodel, R. G. J., De Souza Cortez, M. B., Soltis, P. S., &amp; Soltis, D. E. (2016). Comparative phylogeography of black mangroves (Avicennia germinans) and red mangroves (Rhizophora mangle) in Florida: Testing the maritime discontinuity in coastal plants. </w:t>
      </w:r>
      <w:r w:rsidRPr="00E347F0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American Journal of Botany</w:t>
      </w:r>
      <w:r w:rsidRPr="00E347F0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, </w:t>
      </w:r>
      <w:r w:rsidRPr="00E347F0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103</w:t>
      </w:r>
      <w:r w:rsidRPr="00E347F0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>(4), 730–739. https://doi.org/10.3732/ajb.1500260</w:t>
      </w:r>
    </w:p>
    <w:p w14:paraId="77A625E8" w14:textId="77777777" w:rsidR="00E85152" w:rsidRPr="00E347F0" w:rsidRDefault="00E85152" w:rsidP="00E85152">
      <w:pPr>
        <w:widowControl w:val="0"/>
        <w:autoSpaceDE w:val="0"/>
        <w:autoSpaceDN w:val="0"/>
        <w:adjustRightInd w:val="0"/>
        <w:spacing w:line="360" w:lineRule="auto"/>
        <w:ind w:left="480" w:hanging="480"/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</w:pPr>
      <w:r w:rsidRPr="00E347F0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Hodel, R. G. J., Knowles, L. L., McDaniel, S. F., Payton, A. C., Dunaway, J. F., Soltis, P. S., &amp; Soltis, D. E. (2018). Terrestrial species adapted to sea dispersal: Differences in propagule dispersal of two Caribbean mangroves. </w:t>
      </w:r>
      <w:r w:rsidRPr="00E347F0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Molecular Ecology</w:t>
      </w:r>
      <w:r w:rsidRPr="00E347F0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, </w:t>
      </w:r>
      <w:r w:rsidRPr="00E347F0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27</w:t>
      </w:r>
      <w:r w:rsidRPr="00E347F0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>(22), 4612–4626. https://doi.org/10.1111/mec.14894</w:t>
      </w:r>
    </w:p>
    <w:p w14:paraId="3C0924ED" w14:textId="77777777" w:rsidR="00E85152" w:rsidRPr="00F72788" w:rsidRDefault="00E85152" w:rsidP="00E85152">
      <w:pPr>
        <w:widowControl w:val="0"/>
        <w:autoSpaceDE w:val="0"/>
        <w:autoSpaceDN w:val="0"/>
        <w:adjustRightInd w:val="0"/>
        <w:spacing w:line="360" w:lineRule="auto"/>
        <w:ind w:left="480" w:hanging="480"/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</w:pPr>
      <w:r w:rsidRPr="00F72788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Kennedy, J. P., Garavelli, L., Truelove, N. K., Devlin, D. J., Box, S. J., Ch, L. M., &amp; Feller, I. C. (2017). </w:t>
      </w:r>
      <w:r w:rsidRPr="00F72788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Contrasting genetic effects of red mangrove ( Rhizophora mangle L .) range expansion along West and East Florida</w:t>
      </w:r>
      <w:r w:rsidRPr="00F72788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>. 335–347. https://doi.org/10.1111/jbi.12813</w:t>
      </w:r>
    </w:p>
    <w:p w14:paraId="45DA6473" w14:textId="77777777" w:rsidR="00E85152" w:rsidRPr="00F72788" w:rsidRDefault="00E85152" w:rsidP="00E85152">
      <w:pPr>
        <w:widowControl w:val="0"/>
        <w:autoSpaceDE w:val="0"/>
        <w:autoSpaceDN w:val="0"/>
        <w:adjustRightInd w:val="0"/>
        <w:spacing w:line="360" w:lineRule="auto"/>
        <w:ind w:left="480" w:hanging="480"/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</w:pPr>
      <w:r w:rsidRPr="00F72788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Kennedy, J. P., Pil, M. W., Proffi, C. E., Boeger, W. A., Stanford, A. M., &amp; Devlin, D. J. (2016). </w:t>
      </w:r>
      <w:r w:rsidRPr="00F72788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Postglacial expansion pathways of red mangrove , Rhizophora mangle , in the Caribbean Basin and Florida 1</w:t>
      </w:r>
      <w:r w:rsidRPr="00F72788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. </w:t>
      </w:r>
      <w:r w:rsidRPr="00F72788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103</w:t>
      </w:r>
      <w:r w:rsidRPr="00F72788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>(2), 260–276. https://doi.org/10.3732/ajb.1500183</w:t>
      </w:r>
    </w:p>
    <w:p w14:paraId="664C6D23" w14:textId="77777777" w:rsidR="00E85152" w:rsidRPr="00F72788" w:rsidRDefault="00E85152" w:rsidP="00E85152">
      <w:pPr>
        <w:widowControl w:val="0"/>
        <w:autoSpaceDE w:val="0"/>
        <w:autoSpaceDN w:val="0"/>
        <w:adjustRightInd w:val="0"/>
        <w:spacing w:line="360" w:lineRule="auto"/>
        <w:ind w:left="480" w:hanging="480"/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</w:pPr>
      <w:r w:rsidRPr="00F72788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Kennedy, J. P., Preziosi, R. F., Rowntree, J. K., &amp; Feller, I. C. (2020). Is the central-marginal hypothesis a general rule? Evidence from three distributions of an expanding mangrove species, Avicennia germinans (L.) L. </w:t>
      </w:r>
      <w:r w:rsidRPr="00F72788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Molecular Ecology</w:t>
      </w:r>
      <w:r w:rsidRPr="00F72788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, </w:t>
      </w:r>
      <w:r w:rsidRPr="00F72788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29</w:t>
      </w:r>
      <w:r w:rsidRPr="00F72788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>(4), 704–719. https://doi.org/10.1111/mec.15365</w:t>
      </w:r>
    </w:p>
    <w:p w14:paraId="1D03BDFF" w14:textId="77777777" w:rsidR="00E85152" w:rsidRPr="00F72788" w:rsidRDefault="00E85152" w:rsidP="00E85152">
      <w:pPr>
        <w:widowControl w:val="0"/>
        <w:autoSpaceDE w:val="0"/>
        <w:autoSpaceDN w:val="0"/>
        <w:adjustRightInd w:val="0"/>
        <w:spacing w:line="360" w:lineRule="auto"/>
        <w:ind w:left="480" w:hanging="480"/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</w:pPr>
      <w:r w:rsidRPr="00F72788">
        <w:rPr>
          <w:rFonts w:ascii="Times New Roman" w:eastAsia="Calibri" w:hAnsi="Times New Roman" w:cs="Times New Roman"/>
          <w:noProof/>
          <w:kern w:val="0"/>
          <w:szCs w:val="22"/>
          <w14:ligatures w14:val="none"/>
        </w:rPr>
        <w:t xml:space="preserve">Madeira, A. G., Tsuda, Y., Nagano, Y., Iwasaki, T., Zucchi, M. I., Kajita, T., &amp; Mori, </w:t>
      </w:r>
      <w:r w:rsidRPr="00F72788">
        <w:rPr>
          <w:rFonts w:ascii="Times New Roman" w:eastAsia="Calibri" w:hAnsi="Times New Roman" w:cs="Times New Roman"/>
          <w:noProof/>
          <w:kern w:val="0"/>
          <w:szCs w:val="22"/>
          <w14:ligatures w14:val="none"/>
        </w:rPr>
        <w:lastRenderedPageBreak/>
        <w:t xml:space="preserve">G. M. (2023). </w:t>
      </w:r>
      <w:r w:rsidRPr="00F72788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The role of oceanic currents in the dispersal and connectivity of the mangrove Rhizophora mangle on the Southwest Atlantic region. </w:t>
      </w:r>
      <w:r w:rsidRPr="00F72788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Molecular Ecology Resources</w:t>
      </w:r>
      <w:r w:rsidRPr="00F72788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>. https://doi.org/10.1111/1755-0998.13807</w:t>
      </w:r>
    </w:p>
    <w:p w14:paraId="339C90CA" w14:textId="77777777" w:rsidR="00E85152" w:rsidRPr="00F72788" w:rsidRDefault="00E85152" w:rsidP="00E85152">
      <w:pPr>
        <w:widowControl w:val="0"/>
        <w:autoSpaceDE w:val="0"/>
        <w:autoSpaceDN w:val="0"/>
        <w:adjustRightInd w:val="0"/>
        <w:spacing w:line="360" w:lineRule="auto"/>
        <w:ind w:left="480" w:hanging="480"/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</w:pPr>
      <w:r w:rsidRPr="00F72788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Mori, G. M., Zucchi, M. I., &amp; Souza, A. P. (2015). Multiple-geographic-scale genetic structure of two mangrove tree species: The roles of mating system, hybridization, limited dispersal and extrinsic factors. </w:t>
      </w:r>
      <w:r w:rsidRPr="00F72788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PLoS ONE</w:t>
      </w:r>
      <w:r w:rsidRPr="00F72788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, </w:t>
      </w:r>
      <w:r w:rsidRPr="00F72788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10</w:t>
      </w:r>
      <w:r w:rsidRPr="00F72788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>(2), 1–23. https://doi.org/10.1371/journal.pone.0118710</w:t>
      </w:r>
    </w:p>
    <w:p w14:paraId="186B7538" w14:textId="77777777" w:rsidR="00E85152" w:rsidRPr="00D83FF8" w:rsidRDefault="00E85152" w:rsidP="00E85152">
      <w:pPr>
        <w:widowControl w:val="0"/>
        <w:autoSpaceDE w:val="0"/>
        <w:autoSpaceDN w:val="0"/>
        <w:adjustRightInd w:val="0"/>
        <w:spacing w:line="360" w:lineRule="auto"/>
        <w:ind w:left="480" w:hanging="480"/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</w:pPr>
      <w:r w:rsidRPr="00D83FF8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Ochoa-Zavala, M., Jaramillo-Correa, J. P., Piñero, D., Nettel-Hernanz, A., &amp; Núñez-Farfán, J. (2019). Contrasting colonization patterns of black mangrove (Avicennia germinans (L.) L.) gene pools along the Mexican coasts. </w:t>
      </w:r>
      <w:r w:rsidRPr="00D83FF8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Journal of Biogeography</w:t>
      </w:r>
      <w:r w:rsidRPr="00D83FF8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, </w:t>
      </w:r>
      <w:r w:rsidRPr="00D83FF8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46</w:t>
      </w:r>
      <w:r w:rsidRPr="00D83FF8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>(5), 884–898. https://doi.org/10.1111/jbi.13536</w:t>
      </w:r>
    </w:p>
    <w:p w14:paraId="6D7CA508" w14:textId="77777777" w:rsidR="00E85152" w:rsidRPr="00D83FF8" w:rsidRDefault="00E85152" w:rsidP="00E85152">
      <w:pPr>
        <w:widowControl w:val="0"/>
        <w:autoSpaceDE w:val="0"/>
        <w:autoSpaceDN w:val="0"/>
        <w:adjustRightInd w:val="0"/>
        <w:spacing w:line="360" w:lineRule="auto"/>
        <w:ind w:left="480" w:hanging="480"/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</w:pPr>
      <w:r w:rsidRPr="00E85152">
        <w:rPr>
          <w:rFonts w:ascii="Times New Roman" w:eastAsia="Calibri" w:hAnsi="Times New Roman" w:cs="Times New Roman"/>
          <w:noProof/>
          <w:kern w:val="0"/>
          <w:szCs w:val="22"/>
          <w:lang w:val="en-US"/>
          <w14:ligatures w14:val="none"/>
        </w:rPr>
        <w:t xml:space="preserve">Sereneski-Lima, C., Baggio, R. A., Pil, M. W., Torres Boeger, M. R., &amp; Boeger, W. A. (2021). </w:t>
      </w:r>
      <w:r w:rsidRPr="00D83FF8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Historical and contemporary factors affect the genetic diversity and structure of Laguncularia racemosa (L.) Gaertn, along the western Atlantic coast. </w:t>
      </w:r>
      <w:r w:rsidRPr="00D83FF8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Estuarine, Coastal and Shelf Science</w:t>
      </w:r>
      <w:r w:rsidRPr="00D83FF8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, </w:t>
      </w:r>
      <w:r w:rsidRPr="00D83FF8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249</w:t>
      </w:r>
      <w:r w:rsidRPr="00D83FF8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>(September 2019), 107055. https://doi.org/10.1016/j.ecss.2020.107055</w:t>
      </w:r>
    </w:p>
    <w:p w14:paraId="340FED93" w14:textId="3B19C573" w:rsidR="00D85560" w:rsidRPr="00427DFE" w:rsidRDefault="00E85152" w:rsidP="00E85152">
      <w:pPr>
        <w:widowControl w:val="0"/>
        <w:autoSpaceDE w:val="0"/>
        <w:autoSpaceDN w:val="0"/>
        <w:adjustRightInd w:val="0"/>
        <w:spacing w:line="360" w:lineRule="auto"/>
        <w:ind w:left="480" w:hanging="480"/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</w:pPr>
      <w:r w:rsidRPr="00CB5D7E">
        <w:rPr>
          <w:rFonts w:ascii="Times New Roman" w:eastAsia="Calibri" w:hAnsi="Times New Roman" w:cs="Times New Roman"/>
          <w:noProof/>
          <w:kern w:val="0"/>
          <w:szCs w:val="22"/>
          <w14:ligatures w14:val="none"/>
        </w:rPr>
        <w:t xml:space="preserve">Takayama, K., Tamura, M., Tateishi, Y., Webb, E. L., &amp; Kajita, T. (2013). </w:t>
      </w:r>
      <w:r w:rsidRPr="00CB5D7E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Strong genetic structure over the American continents and transoceanic dispersal in the mangrove genus Rhizophora (Rhizophoraceae) revealed by broad- scale nuclear and chloroplast DNA analysis. </w:t>
      </w:r>
      <w:r w:rsidRPr="00CB5D7E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American Journal of Botany</w:t>
      </w:r>
      <w:r w:rsidRPr="00CB5D7E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 xml:space="preserve">, </w:t>
      </w:r>
      <w:r w:rsidRPr="00CB5D7E">
        <w:rPr>
          <w:rFonts w:ascii="Times New Roman" w:eastAsia="Calibri" w:hAnsi="Times New Roman" w:cs="Times New Roman"/>
          <w:i/>
          <w:iCs/>
          <w:noProof/>
          <w:kern w:val="0"/>
          <w:szCs w:val="22"/>
          <w:lang w:val="en"/>
          <w14:ligatures w14:val="none"/>
        </w:rPr>
        <w:t>100</w:t>
      </w:r>
      <w:r w:rsidRPr="00CB5D7E">
        <w:rPr>
          <w:rFonts w:ascii="Times New Roman" w:eastAsia="Calibri" w:hAnsi="Times New Roman" w:cs="Times New Roman"/>
          <w:noProof/>
          <w:kern w:val="0"/>
          <w:szCs w:val="22"/>
          <w:lang w:val="en"/>
          <w14:ligatures w14:val="none"/>
        </w:rPr>
        <w:t>(6), 1191–1201. https://doi.org/10.3732/ajb.1200567</w:t>
      </w:r>
    </w:p>
    <w:sectPr w:rsidR="00D85560" w:rsidRPr="00427DF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8E2"/>
    <w:rsid w:val="000A79B9"/>
    <w:rsid w:val="000C7F96"/>
    <w:rsid w:val="000F7B09"/>
    <w:rsid w:val="001452D2"/>
    <w:rsid w:val="00185089"/>
    <w:rsid w:val="00185FC2"/>
    <w:rsid w:val="001A69AF"/>
    <w:rsid w:val="00334220"/>
    <w:rsid w:val="003511AE"/>
    <w:rsid w:val="004128E2"/>
    <w:rsid w:val="00427DFE"/>
    <w:rsid w:val="0044739D"/>
    <w:rsid w:val="004C4BC9"/>
    <w:rsid w:val="00593C48"/>
    <w:rsid w:val="005B053E"/>
    <w:rsid w:val="005F0E3B"/>
    <w:rsid w:val="00603E3D"/>
    <w:rsid w:val="00620727"/>
    <w:rsid w:val="00687D13"/>
    <w:rsid w:val="006901DC"/>
    <w:rsid w:val="006E595A"/>
    <w:rsid w:val="006F5A09"/>
    <w:rsid w:val="00766B6B"/>
    <w:rsid w:val="00842AFA"/>
    <w:rsid w:val="00855B46"/>
    <w:rsid w:val="008B4042"/>
    <w:rsid w:val="009824F3"/>
    <w:rsid w:val="00A42496"/>
    <w:rsid w:val="00A6228A"/>
    <w:rsid w:val="00B50802"/>
    <w:rsid w:val="00B73750"/>
    <w:rsid w:val="00BC3D92"/>
    <w:rsid w:val="00C6323D"/>
    <w:rsid w:val="00C94FF7"/>
    <w:rsid w:val="00CB5D7E"/>
    <w:rsid w:val="00CD4A25"/>
    <w:rsid w:val="00CD6FDC"/>
    <w:rsid w:val="00D27F88"/>
    <w:rsid w:val="00D83FF8"/>
    <w:rsid w:val="00D85560"/>
    <w:rsid w:val="00E067DA"/>
    <w:rsid w:val="00E21DC8"/>
    <w:rsid w:val="00E347F0"/>
    <w:rsid w:val="00E85152"/>
    <w:rsid w:val="00EF5E34"/>
    <w:rsid w:val="00F72788"/>
    <w:rsid w:val="00F95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FC373E"/>
  <w15:chartTrackingRefBased/>
  <w15:docId w15:val="{99A19EDC-9E21-476C-B10D-F1E3BB871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8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8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8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8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8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8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8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8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8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8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8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8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8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8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8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8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8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8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8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8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8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8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8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8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8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8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8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8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8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47F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47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4</Pages>
  <Words>1105</Words>
  <Characters>5969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Francisco Justino</dc:creator>
  <cp:keywords/>
  <dc:description/>
  <cp:lastModifiedBy>Rodrigo Francisco Justino</cp:lastModifiedBy>
  <cp:revision>35</cp:revision>
  <dcterms:created xsi:type="dcterms:W3CDTF">2025-11-12T21:22:00Z</dcterms:created>
  <dcterms:modified xsi:type="dcterms:W3CDTF">2025-11-17T23:28:00Z</dcterms:modified>
</cp:coreProperties>
</file>