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6FE0BA0A" w14:textId="77777777" w:rsidR="0065098A" w:rsidRPr="0065098A" w:rsidRDefault="0065098A" w:rsidP="0065098A">
            <w:pPr>
              <w:jc w:val="both"/>
              <w:rPr>
                <w:rFonts w:ascii="Calibri" w:hAnsi="Calibri"/>
                <w:color w:val="000000" w:themeColor="text1"/>
              </w:rPr>
            </w:pPr>
            <w:r w:rsidRPr="0065098A">
              <w:rPr>
                <w:rFonts w:ascii="Calibri" w:hAnsi="Calibri"/>
                <w:color w:val="000000" w:themeColor="text1"/>
              </w:rPr>
              <w:t xml:space="preserve">El desarrollo del Proyecto APT hasta la fecha se ha mantenido en gran medida alineado con la planificación establecida en la carta Gantt. Se han completado exitosamente actividades clave dentro de los plazos estipulados, como el análisis de requisitos y la fase inicial del diseño de </w:t>
            </w:r>
            <w:r w:rsidRPr="0065098A">
              <w:rPr>
                <w:rFonts w:ascii="Calibri" w:hAnsi="Calibri"/>
                <w:i/>
                <w:iCs/>
                <w:color w:val="000000" w:themeColor="text1"/>
              </w:rPr>
              <w:t>mockups</w:t>
            </w:r>
            <w:r w:rsidRPr="0065098A">
              <w:rPr>
                <w:rFonts w:ascii="Calibri" w:hAnsi="Calibri"/>
                <w:color w:val="000000" w:themeColor="text1"/>
              </w:rPr>
              <w:t>. Estos resultados positivos se deben a una planificación estructurada, la aplicación de una metodología ágil y el soporte de herramientas digitales para la organización de tareas.</w:t>
            </w:r>
          </w:p>
          <w:p w14:paraId="1B4E0819" w14:textId="77777777" w:rsidR="0065098A" w:rsidRPr="0065098A" w:rsidRDefault="0065098A" w:rsidP="0065098A">
            <w:pPr>
              <w:jc w:val="both"/>
              <w:rPr>
                <w:rFonts w:ascii="Calibri" w:hAnsi="Calibri"/>
                <w:color w:val="000000" w:themeColor="text1"/>
              </w:rPr>
            </w:pPr>
            <w:r w:rsidRPr="0065098A">
              <w:rPr>
                <w:rFonts w:ascii="Calibri" w:hAnsi="Calibri"/>
                <w:color w:val="000000" w:themeColor="text1"/>
              </w:rPr>
              <w:t>No obstante, se han experimentado desafíos. Las principales dificultades radicaron en la gestión del tiempo, particularmente en la necesidad de equilibrar las responsabilidades académicas y las del proyecto. Además, se presentaron algunos retrasos menores debido a ajustes técnicos inesperados durante la implementación de ciertas funcionalidades.</w:t>
            </w:r>
          </w:p>
          <w:p w14:paraId="1B99614E" w14:textId="77777777" w:rsidR="0065098A" w:rsidRPr="0065098A" w:rsidRDefault="0065098A" w:rsidP="0065098A">
            <w:pPr>
              <w:jc w:val="both"/>
              <w:rPr>
                <w:rFonts w:ascii="Calibri" w:hAnsi="Calibri"/>
                <w:color w:val="000000" w:themeColor="text1"/>
              </w:rPr>
            </w:pPr>
            <w:r w:rsidRPr="0065098A">
              <w:rPr>
                <w:rFonts w:ascii="Calibri" w:hAnsi="Calibri"/>
                <w:color w:val="000000" w:themeColor="text1"/>
              </w:rPr>
              <w:t>En resumen, la carta Gantt ha demostrado ser una herramienta esencial para la estructuración del trabajo, la focalización de esfuerzos y la identificación de puntos fuertes y áreas de mejora. A pesar de que no todas las actividades se completaron en los tiempos estrictamente previstos, el progreso general del proyecto se mantiene firme y acorde a los objetivos iniciales.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60BBABB" w:rsidR="004F2A8B" w:rsidRPr="0065098A" w:rsidRDefault="0065098A" w:rsidP="3D28A338">
            <w:pPr>
              <w:jc w:val="both"/>
              <w:rPr>
                <w:rFonts w:ascii="Calibri" w:hAnsi="Calibri"/>
                <w:color w:val="000000" w:themeColor="text1"/>
              </w:rPr>
            </w:pPr>
            <w:r w:rsidRPr="0065098A">
              <w:rPr>
                <w:rFonts w:ascii="Calibri" w:hAnsi="Calibri"/>
                <w:color w:val="000000" w:themeColor="text1"/>
              </w:rPr>
              <w:t xml:space="preserve">Los desafíos detectados, centrados principalmente en la gestión del tiempo y los ajustes técnicos de la implementación, se abordaron mediante una reestructuración activa de la estrategia de trabajo. Específicamente, se implementaron medidas de mejor organización personal y una replanificación iterativa dentro de la carta Gantt. Para optimizar el progreso, se adoptó un enfoque de priorización estricta de las </w:t>
            </w:r>
            <w:r w:rsidRPr="0065098A">
              <w:rPr>
                <w:rFonts w:ascii="Calibri" w:hAnsi="Calibri"/>
                <w:color w:val="000000" w:themeColor="text1"/>
              </w:rPr>
              <w:lastRenderedPageBreak/>
              <w:t>actividades críticas y la descomposición del trabajo en etapas más granulares. Esta metodología ha permitido mantener un avance constante y alineado con los objetivos generales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6F14EC6" w14:textId="77777777" w:rsidR="0065098A" w:rsidRPr="0065098A" w:rsidRDefault="0065098A" w:rsidP="0065098A">
            <w:pPr>
              <w:jc w:val="both"/>
              <w:rPr>
                <w:rFonts w:ascii="Calibri" w:hAnsi="Calibri"/>
                <w:color w:val="000000" w:themeColor="text1"/>
              </w:rPr>
            </w:pPr>
            <w:r w:rsidRPr="0065098A">
              <w:rPr>
                <w:rFonts w:ascii="Calibri" w:hAnsi="Calibri"/>
                <w:color w:val="000000" w:themeColor="text1"/>
              </w:rPr>
              <w:t xml:space="preserve">Mi autoevaluación del progreso hasta la fecha es positiva. He conseguido avanzar de manera satisfactoria en la consecución de los objetivos establecidos, alcanzando hitos fundamentales como el análisis de requisitos y el diseño del prototipo (o </w:t>
            </w:r>
            <w:r w:rsidRPr="0065098A">
              <w:rPr>
                <w:rFonts w:ascii="Calibri" w:hAnsi="Calibri"/>
                <w:i/>
                <w:iCs/>
                <w:color w:val="000000" w:themeColor="text1"/>
              </w:rPr>
              <w:t>mockups</w:t>
            </w:r>
            <w:r w:rsidRPr="0065098A">
              <w:rPr>
                <w:rFonts w:ascii="Calibri" w:hAnsi="Calibri"/>
                <w:color w:val="000000" w:themeColor="text1"/>
              </w:rPr>
              <w:t xml:space="preserve">). Mis principales fortalezas han sido la planificación inicial rigurosa, la clara definición del alcance y el compromiso constante con el </w:t>
            </w:r>
            <w:r w:rsidRPr="0065098A">
              <w:rPr>
                <w:rFonts w:ascii="Calibri" w:hAnsi="Calibri"/>
                <w:i/>
                <w:iCs/>
                <w:color w:val="000000" w:themeColor="text1"/>
              </w:rPr>
              <w:t>Producto Mínimo Viable</w:t>
            </w:r>
            <w:r w:rsidRPr="0065098A">
              <w:rPr>
                <w:rFonts w:ascii="Calibri" w:hAnsi="Calibri"/>
                <w:color w:val="000000" w:themeColor="text1"/>
              </w:rPr>
              <w:t xml:space="preserve"> (MVP).</w:t>
            </w:r>
          </w:p>
          <w:p w14:paraId="7267B494" w14:textId="77777777" w:rsidR="0065098A" w:rsidRPr="0065098A" w:rsidRDefault="0065098A" w:rsidP="0065098A">
            <w:pPr>
              <w:jc w:val="both"/>
              <w:rPr>
                <w:rFonts w:ascii="Calibri" w:hAnsi="Calibri"/>
                <w:color w:val="000000" w:themeColor="text1"/>
              </w:rPr>
            </w:pPr>
            <w:r w:rsidRPr="0065098A">
              <w:rPr>
                <w:rFonts w:ascii="Calibri" w:hAnsi="Calibri"/>
                <w:color w:val="000000" w:themeColor="text1"/>
              </w:rPr>
              <w:t>No obstante, reconozco áreas de oportunidad, particularmente en la gestión del tiempo, donde se presentaron desafíos relacionados con los ajustes técnicos inesperados y la conciliación con otras responsabilidades académicas. Para abordar estas mejoras, me enfocaré en reforzar la planificación semanal, establecer criterios de priorización más estrictos y realizar revisiones periódicas proactivas que permitan anticipar y mitigar potenciales dificultades.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0D450E0" w:rsidR="004F2A8B" w:rsidRPr="0065098A" w:rsidRDefault="0065098A" w:rsidP="3D28A338">
            <w:pPr>
              <w:jc w:val="both"/>
              <w:rPr>
                <w:rFonts w:ascii="Calibri" w:hAnsi="Calibri"/>
                <w:color w:val="000000" w:themeColor="text1"/>
              </w:rPr>
            </w:pPr>
            <w:r w:rsidRPr="0065098A">
              <w:rPr>
                <w:rFonts w:ascii="Calibri" w:hAnsi="Calibri"/>
                <w:color w:val="000000" w:themeColor="text1"/>
              </w:rPr>
              <w:t xml:space="preserve">Tras la etapa de reflexión sobre el avance del Proyecto APT, surgen dos interrogantes cruciales que orientarán las próximas fases. La primera concierne a la calidad de la experiencia de usuario (UX): ¿cómo podemos garantizar que el prototipo no se limite a cumplir los requisitos funcionales mínimos, sino que ofrezca una interacción atractiva e intuitiva? La segunda inquietud se relaciona con la validación del modelo de negocio: </w:t>
            </w:r>
            <w:r w:rsidRPr="0065098A">
              <w:rPr>
                <w:rFonts w:ascii="Calibri" w:hAnsi="Calibri"/>
                <w:color w:val="000000" w:themeColor="text1"/>
              </w:rPr>
              <w:lastRenderedPageBreak/>
              <w:t xml:space="preserve">¿de qué manera podemos robustecer la justificación de </w:t>
            </w:r>
            <w:proofErr w:type="spellStart"/>
            <w:r w:rsidRPr="0065098A">
              <w:rPr>
                <w:rFonts w:ascii="Calibri" w:hAnsi="Calibri"/>
                <w:i/>
                <w:iCs/>
                <w:color w:val="000000" w:themeColor="text1"/>
              </w:rPr>
              <w:t>Ashbis</w:t>
            </w:r>
            <w:proofErr w:type="spellEnd"/>
            <w:r w:rsidRPr="0065098A">
              <w:rPr>
                <w:rFonts w:ascii="Calibri" w:hAnsi="Calibri"/>
                <w:color w:val="000000" w:themeColor="text1"/>
              </w:rPr>
              <w:t xml:space="preserve"> como una oportunidad comercial viable, pensando en una proyección estratégica que trascienda la entrega del Producto Mínimo Viable (MVP)</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C142B0" w14:textId="77777777" w:rsidR="0065098A" w:rsidRPr="0065098A" w:rsidRDefault="0065098A" w:rsidP="0065098A">
            <w:pPr>
              <w:jc w:val="both"/>
              <w:rPr>
                <w:rFonts w:eastAsiaTheme="majorEastAsia"/>
                <w:color w:val="000000" w:themeColor="text1"/>
                <w:sz w:val="24"/>
                <w:szCs w:val="24"/>
              </w:rPr>
            </w:pPr>
            <w:r w:rsidRPr="0065098A">
              <w:rPr>
                <w:rFonts w:eastAsiaTheme="majorEastAsia"/>
                <w:color w:val="000000" w:themeColor="text1"/>
                <w:sz w:val="24"/>
                <w:szCs w:val="24"/>
              </w:rPr>
              <w:t>El monitoreo actual del Proyecto APT confirma que la distribución inicial de actividades ha sido efectiva y equilibrada, lo cual ha sido clave para mantener el cumplimiento de los plazos. Sin embargo, se ha detectado la necesidad de reajustar la asignación de tareas con el fin de optimizar la carga laboral. Esta reorganización se centrará especialmente en el desarrollo técnico y la documentación del proyecto, buscando una distribución más equitativa entre los miembros del equipo.</w:t>
            </w:r>
          </w:p>
          <w:p w14:paraId="5D2820E5" w14:textId="77777777" w:rsidR="0065098A" w:rsidRPr="0065098A" w:rsidRDefault="0065098A" w:rsidP="0065098A">
            <w:pPr>
              <w:jc w:val="both"/>
              <w:rPr>
                <w:rFonts w:eastAsiaTheme="majorEastAsia"/>
                <w:color w:val="000000" w:themeColor="text1"/>
                <w:sz w:val="24"/>
                <w:szCs w:val="24"/>
              </w:rPr>
            </w:pPr>
            <w:r w:rsidRPr="0065098A">
              <w:rPr>
                <w:rFonts w:eastAsiaTheme="majorEastAsia"/>
                <w:color w:val="000000" w:themeColor="text1"/>
                <w:sz w:val="24"/>
                <w:szCs w:val="24"/>
              </w:rPr>
              <w:t>Como parte de la planificación inmediata, es crucial asignar dos actividades críticas: la validación directa con usuarios potenciales y la investigación de proyectos de referencia similares. Estas tareas son esenciales, ya que no solo permitirán enriquecer el Producto Mínimo Viable (MVP), sino que también reforzarán significativamente su solidez como futura oportunidad de negocio.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C518AB4" w14:textId="77777777" w:rsidR="0065098A" w:rsidRPr="0065098A" w:rsidRDefault="0065098A" w:rsidP="0065098A">
            <w:pPr>
              <w:jc w:val="both"/>
              <w:rPr>
                <w:rFonts w:eastAsiaTheme="majorEastAsia"/>
                <w:color w:val="000000" w:themeColor="text1"/>
                <w:sz w:val="24"/>
                <w:szCs w:val="24"/>
              </w:rPr>
            </w:pPr>
            <w:r w:rsidRPr="0065098A">
              <w:rPr>
                <w:rFonts w:eastAsiaTheme="majorEastAsia"/>
                <w:color w:val="000000" w:themeColor="text1"/>
                <w:sz w:val="24"/>
                <w:szCs w:val="24"/>
              </w:rPr>
              <w:t>La evaluación del desempeño grupal resulta positiva. Hemos logrado mantener una comunicación fluida y constante, lo cual ha sido fundamental para una coordinación eficaz en la distribución de tareas. Los puntos clave de éxito incluyen el alto nivel de compromiso, la proactividad colaborativa y una sólida capacidad de adaptación a los plazos, factores que han asegurado un desarrollo ordenado y progresivo del proyecto.</w:t>
            </w:r>
          </w:p>
          <w:p w14:paraId="7F42E424" w14:textId="77777777" w:rsidR="0065098A" w:rsidRPr="0065098A" w:rsidRDefault="0065098A" w:rsidP="0065098A">
            <w:pPr>
              <w:jc w:val="both"/>
              <w:rPr>
                <w:rFonts w:eastAsiaTheme="majorEastAsia"/>
                <w:color w:val="000000" w:themeColor="text1"/>
                <w:sz w:val="24"/>
                <w:szCs w:val="24"/>
              </w:rPr>
            </w:pPr>
            <w:r w:rsidRPr="0065098A">
              <w:rPr>
                <w:rFonts w:eastAsiaTheme="majorEastAsia"/>
                <w:color w:val="000000" w:themeColor="text1"/>
                <w:sz w:val="24"/>
                <w:szCs w:val="24"/>
              </w:rPr>
              <w:t>Sin embargo, identificamos áreas de mejora en la gestión del tiempo conjunto, específicamente en la dificultad para alinear horarios en las instancias de revisión grupal. Para optimizar nuestra colaboración, proponemos la implementación de reuniones más concisas y frecuentes, acompañadas de acuerdos de seguimiento claramente definidos. Esto no solo ayudará a mantener el ritmo de trabajo, sino que también fortalecerá la sinergia del equipo.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A6BD3" w14:textId="77777777" w:rsidR="008C2343" w:rsidRDefault="008C2343" w:rsidP="00DF38AE">
      <w:pPr>
        <w:spacing w:after="0" w:line="240" w:lineRule="auto"/>
      </w:pPr>
      <w:r>
        <w:separator/>
      </w:r>
    </w:p>
  </w:endnote>
  <w:endnote w:type="continuationSeparator" w:id="0">
    <w:p w14:paraId="3C6E888E" w14:textId="77777777" w:rsidR="008C2343" w:rsidRDefault="008C234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503BA" w14:textId="77777777" w:rsidR="008C2343" w:rsidRDefault="008C2343" w:rsidP="00DF38AE">
      <w:pPr>
        <w:spacing w:after="0" w:line="240" w:lineRule="auto"/>
      </w:pPr>
      <w:r>
        <w:separator/>
      </w:r>
    </w:p>
  </w:footnote>
  <w:footnote w:type="continuationSeparator" w:id="0">
    <w:p w14:paraId="6E890401" w14:textId="77777777" w:rsidR="008C2343" w:rsidRDefault="008C234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4348548">
    <w:abstractNumId w:val="3"/>
  </w:num>
  <w:num w:numId="2" w16cid:durableId="931402557">
    <w:abstractNumId w:val="8"/>
  </w:num>
  <w:num w:numId="3" w16cid:durableId="2141528972">
    <w:abstractNumId w:val="12"/>
  </w:num>
  <w:num w:numId="4" w16cid:durableId="1246963641">
    <w:abstractNumId w:val="28"/>
  </w:num>
  <w:num w:numId="5" w16cid:durableId="597637787">
    <w:abstractNumId w:val="30"/>
  </w:num>
  <w:num w:numId="6" w16cid:durableId="1110586188">
    <w:abstractNumId w:val="4"/>
  </w:num>
  <w:num w:numId="7" w16cid:durableId="1364671407">
    <w:abstractNumId w:val="11"/>
  </w:num>
  <w:num w:numId="8" w16cid:durableId="864683480">
    <w:abstractNumId w:val="19"/>
  </w:num>
  <w:num w:numId="9" w16cid:durableId="236327488">
    <w:abstractNumId w:val="15"/>
  </w:num>
  <w:num w:numId="10" w16cid:durableId="1964579016">
    <w:abstractNumId w:val="9"/>
  </w:num>
  <w:num w:numId="11" w16cid:durableId="528371852">
    <w:abstractNumId w:val="24"/>
  </w:num>
  <w:num w:numId="12" w16cid:durableId="91824604">
    <w:abstractNumId w:val="35"/>
  </w:num>
  <w:num w:numId="13" w16cid:durableId="1980721632">
    <w:abstractNumId w:val="29"/>
  </w:num>
  <w:num w:numId="14" w16cid:durableId="249702921">
    <w:abstractNumId w:val="1"/>
  </w:num>
  <w:num w:numId="15" w16cid:durableId="1070805791">
    <w:abstractNumId w:val="36"/>
  </w:num>
  <w:num w:numId="16" w16cid:durableId="730351641">
    <w:abstractNumId w:val="21"/>
  </w:num>
  <w:num w:numId="17" w16cid:durableId="654260322">
    <w:abstractNumId w:val="17"/>
  </w:num>
  <w:num w:numId="18" w16cid:durableId="1581063762">
    <w:abstractNumId w:val="31"/>
  </w:num>
  <w:num w:numId="19" w16cid:durableId="90131667">
    <w:abstractNumId w:val="10"/>
  </w:num>
  <w:num w:numId="20" w16cid:durableId="224806084">
    <w:abstractNumId w:val="39"/>
  </w:num>
  <w:num w:numId="21" w16cid:durableId="1555776815">
    <w:abstractNumId w:val="34"/>
  </w:num>
  <w:num w:numId="22" w16cid:durableId="20135138">
    <w:abstractNumId w:val="13"/>
  </w:num>
  <w:num w:numId="23" w16cid:durableId="2023967924">
    <w:abstractNumId w:val="14"/>
  </w:num>
  <w:num w:numId="24" w16cid:durableId="1434670698">
    <w:abstractNumId w:val="5"/>
  </w:num>
  <w:num w:numId="25" w16cid:durableId="1790972092">
    <w:abstractNumId w:val="16"/>
  </w:num>
  <w:num w:numId="26" w16cid:durableId="647175197">
    <w:abstractNumId w:val="20"/>
  </w:num>
  <w:num w:numId="27" w16cid:durableId="2068602278">
    <w:abstractNumId w:val="23"/>
  </w:num>
  <w:num w:numId="28" w16cid:durableId="1383484486">
    <w:abstractNumId w:val="0"/>
  </w:num>
  <w:num w:numId="29" w16cid:durableId="1528831874">
    <w:abstractNumId w:val="18"/>
  </w:num>
  <w:num w:numId="30" w16cid:durableId="1947689316">
    <w:abstractNumId w:val="22"/>
  </w:num>
  <w:num w:numId="31" w16cid:durableId="1640574043">
    <w:abstractNumId w:val="2"/>
  </w:num>
  <w:num w:numId="32" w16cid:durableId="1256669849">
    <w:abstractNumId w:val="7"/>
  </w:num>
  <w:num w:numId="33" w16cid:durableId="145248334">
    <w:abstractNumId w:val="32"/>
  </w:num>
  <w:num w:numId="34" w16cid:durableId="948124873">
    <w:abstractNumId w:val="38"/>
  </w:num>
  <w:num w:numId="35" w16cid:durableId="1878202879">
    <w:abstractNumId w:val="6"/>
  </w:num>
  <w:num w:numId="36" w16cid:durableId="640572909">
    <w:abstractNumId w:val="25"/>
  </w:num>
  <w:num w:numId="37" w16cid:durableId="1900826445">
    <w:abstractNumId w:val="37"/>
  </w:num>
  <w:num w:numId="38" w16cid:durableId="1514690688">
    <w:abstractNumId w:val="27"/>
  </w:num>
  <w:num w:numId="39" w16cid:durableId="712464706">
    <w:abstractNumId w:val="26"/>
  </w:num>
  <w:num w:numId="40" w16cid:durableId="21459225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174"/>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98A"/>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2343"/>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1011</Words>
  <Characters>5566</Characters>
  <Application>Microsoft Office Word</Application>
  <DocSecurity>0</DocSecurity>
  <Lines>46</Lines>
  <Paragraphs>13</Paragraphs>
  <ScaleCrop>false</ScaleCrop>
  <Company>Wal-Mart Stores, Inc.</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 CUEVAS PEREZ</cp:lastModifiedBy>
  <cp:revision>43</cp:revision>
  <cp:lastPrinted>2019-12-16T20:10:00Z</cp:lastPrinted>
  <dcterms:created xsi:type="dcterms:W3CDTF">2021-12-31T12:50:00Z</dcterms:created>
  <dcterms:modified xsi:type="dcterms:W3CDTF">2025-10-15T23:17:00Z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