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20E1" w14:textId="1D10AA75" w:rsidR="00431E70" w:rsidRDefault="008E636C">
      <w:r w:rsidRPr="008E636C">
        <w:drawing>
          <wp:inline distT="0" distB="0" distL="0" distR="0" wp14:anchorId="23680B52" wp14:editId="40206572">
            <wp:extent cx="5400040" cy="2108200"/>
            <wp:effectExtent l="0" t="0" r="0" b="6350"/>
            <wp:docPr id="656231946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31946" name="Imagen 1" descr="Escala de tiem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DE07" w14:textId="5560BA21" w:rsidR="00D97F5B" w:rsidRDefault="00D97F5B">
      <w:r>
        <w:t xml:space="preserve">Hecho en </w:t>
      </w:r>
      <w:proofErr w:type="spellStart"/>
      <w:r>
        <w:t>NeatBens</w:t>
      </w:r>
      <w:proofErr w:type="spellEnd"/>
    </w:p>
    <w:p w14:paraId="4F53C54E" w14:textId="77777777" w:rsidR="00D97F5B" w:rsidRDefault="00D97F5B"/>
    <w:p w14:paraId="342359D9" w14:textId="07050F8B" w:rsidR="00D97F5B" w:rsidRDefault="00D97F5B">
      <w:r w:rsidRPr="00D97F5B">
        <w:drawing>
          <wp:inline distT="0" distB="0" distL="0" distR="0" wp14:anchorId="6831FC8B" wp14:editId="0BEE0DBC">
            <wp:extent cx="5400040" cy="2448560"/>
            <wp:effectExtent l="0" t="0" r="0" b="8890"/>
            <wp:docPr id="15851618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6186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9DCE" w14:textId="7F0C2C4B" w:rsidR="00D97F5B" w:rsidRDefault="00D97F5B">
      <w:r>
        <w:t>El encapsulamiento sirve para poder considerar el grupo de atributos y métodos como un todo. Y referirme a ese todo con un solo llamado.</w:t>
      </w:r>
    </w:p>
    <w:sectPr w:rsidR="00D97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6C"/>
    <w:rsid w:val="00431E70"/>
    <w:rsid w:val="006F2817"/>
    <w:rsid w:val="008E636C"/>
    <w:rsid w:val="00C53B6C"/>
    <w:rsid w:val="00D97F5B"/>
    <w:rsid w:val="00EB4507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5CFA9"/>
  <w15:chartTrackingRefBased/>
  <w15:docId w15:val="{2254ED92-0220-4D36-A553-D644B2A2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6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6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6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6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6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6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6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6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6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6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63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63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63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63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63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63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6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6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6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6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63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63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63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6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63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6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2024-04-29T00:50:00Z</dcterms:created>
  <dcterms:modified xsi:type="dcterms:W3CDTF">2024-04-29T01:22:00Z</dcterms:modified>
</cp:coreProperties>
</file>