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0" w:after="100"/>
      </w:pPr>
    </w:p>
    <w:p>
      <w:pPr>
        <w:spacing w:after="100"/>
        <w:jc w:val="center"/>
      </w:pPr>
      <w:r>
        <w:rPr>
          <w:rFonts w:ascii="Arial" w:hAnsi="Arial" w:cs="Arial"/>
          <w:b/>
          <w:bCs/>
          <w:color w:val="1A1A1A"/>
          <w:kern w:val="0"/>
          <w:sz w:val="32"/>
          <w:szCs w:val="32"/>
        </w:rPr>
        <w:t xml:space="preserve">ARCHITECTURE DECISION RECORD (ADR)</w:t>
      </w:r>
    </w:p>
    <w:p>
      <w:pPr>
        <w:spacing w:after="400"/>
        <w:jc w:val="center"/>
      </w:pPr>
      <w:r>
        <w:rPr>
          <w:rFonts w:ascii="Arial" w:hAnsi="Arial" w:cs="Arial"/>
          <w:i/>
          <w:iCs/>
          <w:color w:val="555555"/>
          <w:kern w:val="0"/>
          <w:sz w:val="22"/>
          <w:szCs w:val="22"/>
        </w:rPr>
        <w:t xml:space="preserve">ADR-004 - Usar Claude para geração e orquestração, com embeddings e reranker multilíngues locais atrás de portas</w:t>
      </w:r>
    </w:p>
    <w:p>
      <w:pPr>
        <w:pBdr>
          <w:bottom w:val="single" w:sz="6" w:space="4" w:color="999999"/>
        </w:pBdr>
        <w:spacing w:before="360" w:after="120"/>
        <w:outlineLvl w:val="0"/>
      </w:pPr>
      <w:bookmarkStart w:id="5030" w:name="_Toc5030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Cabeçalho</w:t>
      </w:r>
      <w:bookmarkEnd w:id="5030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200"/>
        <w:gridCol w:w="6298"/>
      </w:tblGrid>
      <w:tr>
        <w:trPr>
          <w:cantSplit/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20"/>
                <w:szCs w:val="20"/>
              </w:rPr>
              <w:t xml:space="preserve">Campo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Número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ADR-004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Título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Usar Claude para geração e orquestração, com embeddings e reranker multilíngues locais atrás de portas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Data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2026-10-06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Status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Proposta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Autor(es)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Rodrigo de Jesus Macêdo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Revisores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Pendente de revisão pelo líder técnico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Sistemas afetados</w:t>
            </w:r>
          </w:p>
        </w:tc>
        <w:tc>
          <w:tcPr>
            <w:tcW w:w="62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20"/>
                <w:szCs w:val="20"/>
              </w:rPr>
              <w:t xml:space="preserve">CBOT - Assistente de Cursos via Mensageria</w:t>
            </w:r>
          </w:p>
        </w:tc>
      </w:tr>
    </w:tbl>
    <w:p>
      <w:pPr>
        <w:spacing w:after="120"/>
      </w:pPr>
    </w:p>
    <w:p>
      <w:pPr>
        <w:pBdr>
          <w:bottom w:val="single" w:sz="6" w:space="4" w:color="999999"/>
        </w:pBdr>
        <w:spacing w:before="360" w:after="120"/>
        <w:outlineLvl w:val="0"/>
      </w:pPr>
      <w:bookmarkStart w:id="5031" w:name="_Toc5031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1. Contexto</w:t>
      </w:r>
      <w:bookmarkEnd w:id="5031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O sistema usa modelos de IA em quatro tarefas: orquestrar o chat (com tool use), gerar respostas ancoradas, resumir novidades e contextualizar trechos na indexação; e, separadamente, vetorizar textos e reordenar candidatos. O material é em português, o público é um único aluno ou poucos, e o orçamento é limitado.</w:t>
      </w:r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O conteúdo dos cursos é de uso pessoal do aluno e sujeito a políticas da instituição, o que torna relevante saber quais dados saem do ambiente. O provedor de LLM não oferece embeddings próprios, portanto é preciso escolher um modelo separado.</w:t>
      </w:r>
    </w:p>
    <w:p>
      <w:pPr>
        <w:pBdr>
          <w:bottom w:val="single" w:sz="6" w:space="4" w:color="999999"/>
        </w:pBdr>
        <w:spacing w:before="360" w:after="120"/>
        <w:outlineLvl w:val="0"/>
      </w:pPr>
      <w:bookmarkStart w:id="5032" w:name="_Toc5032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2. Decisão</w:t>
      </w:r>
      <w:bookmarkEnd w:id="5032"/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Usaremos a Anthropic API com o modelo Claude Sonnet 5.5 (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claude-sonnet-5-5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) para orquestração do chat, respostas do RAG e resumo final, e Claude Haiku 4.5 (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claude-haiku-4-5-20251001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) para contextualização de trechos e resumos intermediários por item, com prompt caching do prefixo estável. Para embeddings e reranking usaremos modelos multilíngues locais: BGE-M3 (vetores de 1024 dimensões) e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bge-reranker-v2-m3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, executados em CPU no Worker.</w:t>
      </w:r>
    </w:p>
    <w:p>
      <w:pPr>
        <w:pStyle w:val="Corpodetexto"/>
        <w:spacing w:after="160"/>
      </w:pPr>
      <w:r>
        <w:rPr>
          <w:rFonts w:ascii="Arial" w:hAnsi="Arial" w:cs="Arial"/>
          <w:color w:val="1A1A1A"/>
          <w:kern w:val="0"/>
          <w:sz w:val="22"/>
          <w:szCs w:val="22"/>
        </w:rPr>
        <w:t xml:space="preserve">Todos os modelos ficam atrás das portas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LlmClient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,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Embedder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 e 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Reranker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. O identificador do modelo de embeddings é gravado em cada trecho (</w:t>
      </w:r>
      <w:r>
        <w:rPr>
          <w:rFonts w:ascii="Consolas" w:hAnsi="Consolas" w:cs="Consolas"/>
          <w:color w:val="1A1A1A"/>
          <w:kern w:val="0"/>
          <w:sz w:val="20"/>
          <w:szCs w:val="20"/>
        </w:rPr>
        <w:t xml:space="preserve">trechos.modelo_emb</w:t>
      </w:r>
      <w:r>
        <w:rPr>
          <w:rFonts w:ascii="Arial" w:hAnsi="Arial" w:cs="Arial"/>
          <w:color w:val="1A1A1A"/>
          <w:kern w:val="0"/>
          <w:sz w:val="22"/>
          <w:szCs w:val="22"/>
        </w:rPr>
        <w:t xml:space="preserve">) para permitir reindexação. Os provedores são trocáveis por configuração (por exemplo, embeddings por API, ou outro modelo de geração).</w:t>
      </w:r>
    </w:p>
    <w:p>
      <w:pPr>
        <w:pBdr>
          <w:bottom w:val="single" w:sz="6" w:space="4" w:color="999999"/>
        </w:pBdr>
        <w:spacing w:before="360" w:after="120"/>
        <w:outlineLvl w:val="0"/>
      </w:pPr>
      <w:bookmarkStart w:id="5033" w:name="_Toc5033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3. Justificativa</w:t>
      </w:r>
      <w:bookmarkEnd w:id="5033"/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Qualidade: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o Claude oferece bom desempenho em português, uso confiável de ferramentas e seguimento de instruções de fundamentação e citação.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Custo: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o modelo menor atende às tarefas de alto volume (contextualização) e o prompt caching reduz o custo do documento repetido; embeddings e reranker locais não têm custo variável.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Privacidade: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o corpus completo e as consultas de vetorização não saem da VPS; apenas os trechos recuperados e os documentos enviados para contextualização vão ao provedor de LLM.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Idioma: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BGE-M3 é multilíngue e cobre português; a dimensão de 1024 é suportada pelo índice HNSW do pgvector.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b/>
          <w:bCs/>
          <w:color w:val="1A1A1A"/>
          <w:kern w:val="0"/>
          <w:sz w:val="20"/>
          <w:szCs w:val="20"/>
        </w:rPr>
        <w:t xml:space="preserve">Evolução: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portas e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modelo_emb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 permitem trocar modelos sem alterar os Services.</w:t>
      </w:r>
    </w:p>
    <w:p>
      <w:pPr>
        <w:pBdr>
          <w:bottom w:val="single" w:sz="6" w:space="4" w:color="999999"/>
        </w:pBdr>
        <w:spacing w:before="360" w:after="120"/>
        <w:outlineLvl w:val="0"/>
      </w:pPr>
      <w:bookmarkStart w:id="5034" w:name="_Toc5034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4. Alternativas Consideradas</w:t>
      </w:r>
      <w:bookmarkEnd w:id="5034"/>
    </w:p>
    <w:tbl>
      <w:tblPr>
        <w:tblW w:w="8498" w:type="dxa"/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600"/>
        <w:gridCol w:w="5898"/>
      </w:tblGrid>
      <w:tr>
        <w:trPr>
          <w:cantSplit/>
          <w:tblHeader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Alternativa</w:t>
            </w:r>
          </w:p>
        </w:tc>
        <w:tc>
          <w:tcPr>
            <w:tcW w:w="5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E8E8"/>
          </w:tcPr>
          <w:p>
            <w:pPr>
              <w:spacing w:before="60" w:after="60"/>
            </w:pPr>
            <w:r>
              <w:rPr>
                <w:rFonts w:ascii="Arial" w:hAnsi="Arial" w:cs="Arial"/>
                <w:b/>
                <w:bCs/>
                <w:color w:val="1A1A1A"/>
                <w:kern w:val="0"/>
                <w:sz w:val="18"/>
                <w:szCs w:val="18"/>
              </w:rPr>
              <w:t xml:space="preserve">Por que foi descartada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Embeddings e rerank por API (Voyage, OpenAI, Cohere)</w:t>
            </w:r>
          </w:p>
        </w:tc>
        <w:tc>
          <w:tcPr>
            <w:tcW w:w="5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Custo variável e envio de todo o corpus a terceiros. Permanece como configuração alternativa se a CPU da VPS for insuficiente.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LLM local (por exemplo, via Ollama)</w:t>
            </w:r>
          </w:p>
        </w:tc>
        <w:tc>
          <w:tcPr>
            <w:tcW w:w="5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Qualidade inferior em tool use e fundamentação para o hardware da VPS, e latência maior. Útil apenas para testes offline.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Um único modelo grande para todas as tarefas</w:t>
            </w:r>
          </w:p>
        </w:tc>
        <w:tc>
          <w:tcPr>
            <w:tcW w:w="5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7F7F7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Custo desnecessário nas tarefas de alto volume (contextualização e resumos por item).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Sem reranker</w:t>
            </w:r>
          </w:p>
        </w:tc>
        <w:tc>
          <w:tcPr>
            <w:tcW w:w="589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>
            <w:pPr>
              <w:spacing w:before="60" w:after="60"/>
            </w:pPr>
            <w:r>
              <w:rPr>
                <w:rFonts w:ascii="Arial" w:hAnsi="Arial" w:cs="Arial"/>
                <w:color w:val="1A1A1A"/>
                <w:kern w:val="0"/>
                <w:sz w:val="18"/>
                <w:szCs w:val="18"/>
              </w:rPr>
              <w:t xml:space="preserve">Reduz a precisão do contexto; descartado por ser a etapa com melhor relação ganho/custo, mas pode ser desativado por configuração.</w:t>
            </w:r>
          </w:p>
        </w:tc>
      </w:tr>
    </w:tbl>
    <w:p>
      <w:pPr>
        <w:spacing w:after="120"/>
      </w:pPr>
    </w:p>
    <w:p>
      <w:pPr>
        <w:pBdr>
          <w:bottom w:val="single" w:sz="6" w:space="4" w:color="999999"/>
        </w:pBdr>
        <w:spacing w:before="360" w:after="120"/>
        <w:outlineLvl w:val="0"/>
      </w:pPr>
      <w:bookmarkStart w:id="5035" w:name="_Toc5035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5. Consequências</w:t>
      </w:r>
      <w:bookmarkEnd w:id="5035"/>
    </w:p>
    <w:p>
      <w:pPr>
        <w:keepNext/>
        <w:spacing w:before="280" w:after="80"/>
        <w:outlineLvl w:val="1"/>
      </w:pPr>
      <w:bookmarkStart w:id="5036" w:name="_Toc5036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5.1 Positivas</w:t>
      </w:r>
      <w:bookmarkEnd w:id="5036"/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Boa qualidade de resposta com custo controlado e previsível.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Dados do corpus permanecem locais, exceto o contexto enviado ao provedor.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Troca de qualquer modelo por configuração.</w:t>
      </w:r>
    </w:p>
    <w:p>
      <w:pPr>
        <w:keepNext/>
        <w:spacing w:before="280" w:after="80"/>
        <w:outlineLvl w:val="1"/>
      </w:pPr>
      <w:bookmarkStart w:id="5037" w:name="_Toc5037"/>
      <w:r>
        <w:rPr>
          <w:rFonts w:ascii="Arial" w:hAnsi="Arial" w:cs="Arial"/>
          <w:b/>
          <w:bCs/>
          <w:color w:val="333333"/>
          <w:kern w:val="0"/>
          <w:sz w:val="24"/>
          <w:szCs w:val="24"/>
        </w:rPr>
        <w:t xml:space="preserve">5.2 Negativas / Riscos</w:t>
      </w:r>
      <w:bookmarkEnd w:id="5037"/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Os trechos recuperados e documentos de contextualização são enviados à Anthropic; é preciso avaliar o contrato e a retenção de dados do provedor e informar o aluno no consentimento (LGPD).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A VPS precisa de memória e CPU suficientes (BGE-M3 e reranker ocupam alguns GB de RAM; a latência de CPU eleva o p95).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Trocar o modelo de embeddings obriga a reindexar todo o corpus.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Dependência de disponibilidade e preços do provedor de LLM; custo diário monitorado com teto por aluno.</w:t>
      </w:r>
    </w:p>
    <w:p>
      <w:pPr>
        <w:pBdr>
          <w:bottom w:val="single" w:sz="6" w:space="4" w:color="999999"/>
        </w:pBdr>
        <w:spacing w:before="360" w:after="120"/>
        <w:outlineLvl w:val="0"/>
      </w:pPr>
      <w:bookmarkStart w:id="5038" w:name="_Toc5038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6. Notas de Implementação</w:t>
      </w:r>
      <w:bookmarkEnd w:id="5038"/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Carregar os modelos locais uma vez por processo e processar embeddings em lotes (por exemplo, 32 trechos).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Limitar tokens por aluno por dia e alertar ao se aproximar do teto.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Usar prompt caching no prompt de sistema e no documento durante a contextualização.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Registrar tokens de entrada e saída por chamada (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mensagens.tokens_in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, </w:t>
      </w:r>
      <w:r>
        <w:rPr>
          <w:rFonts w:ascii="Consolas" w:hAnsi="Consolas" w:cs="Consolas"/>
          <w:color w:val="1A1A1A"/>
          <w:kern w:val="0"/>
          <w:sz w:val="18"/>
          <w:szCs w:val="18"/>
        </w:rPr>
        <w:t xml:space="preserve">tokens_out</w:t>
      </w:r>
      <w:r>
        <w:rPr>
          <w:rFonts w:ascii="Arial" w:hAnsi="Arial" w:cs="Arial"/>
          <w:color w:val="1A1A1A"/>
          <w:kern w:val="0"/>
          <w:sz w:val="20"/>
          <w:szCs w:val="20"/>
        </w:rPr>
        <w:t xml:space="preserve">) e custo estimado nas métricas.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Reavaliar a escolha de modelos a cada ciclo com o conjunto de ouro (ADR-002).</w:t>
      </w:r>
    </w:p>
    <w:p>
      <w:pPr>
        <w:pBdr>
          <w:bottom w:val="single" w:sz="6" w:space="4" w:color="999999"/>
        </w:pBdr>
        <w:spacing w:before="360" w:after="120"/>
        <w:outlineLvl w:val="0"/>
      </w:pPr>
      <w:bookmarkStart w:id="5039" w:name="_Toc5039"/>
      <w:r>
        <w:rPr>
          <w:rFonts w:ascii="Arial" w:hAnsi="Arial" w:cs="Arial"/>
          <w:b/>
          <w:bCs/>
          <w:color w:val="1A1A1A"/>
          <w:kern w:val="0"/>
          <w:sz w:val="28"/>
          <w:szCs w:val="28"/>
        </w:rPr>
        <w:t xml:space="preserve">7. Referências</w:t>
      </w:r>
      <w:bookmarkEnd w:id="5039"/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Documentação da Anthropic API - https://docs.anthropic.com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BGE-M3 - https://huggingface.co/BAAI/bge-m3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ADR-002 - RAG híbrido no PostgreSQL.</w:t>
      </w:r>
    </w:p>
    <w:p>
      <w:pPr>
        <w:pStyle w:val="PargrafodaLista"/>
        <w:numPr>
          <w:ilvl w:val="0"/>
          <w:numId w:val="3"/>
        </w:numPr>
        <w:spacing w:after="80"/>
        <w:jc w:val="both"/>
      </w:pPr>
      <w:r>
        <w:rPr>
          <w:rFonts w:ascii="Arial" w:hAnsi="Arial" w:cs="Arial"/>
          <w:color w:val="1A1A1A"/>
          <w:kern w:val="0"/>
          <w:sz w:val="20"/>
          <w:szCs w:val="20"/>
        </w:rPr>
        <w:t xml:space="preserve">Documento de arquitetura CBOT, seções 4.7 e 4.9.</w:t>
      </w:r>
    </w:p>
    <w:sectPr w:rsidR="00D2236E">
      <w:headerReference w:type="default" r:id="rId11"/>
      <w:footerReference w:type="default" r:id="rId12"/>
      <w:headerReference w:type="first" r:id="rId13"/>
      <w:footerReference w:type="first" r:id="rId14"/>
      <w:pgSz w:w="11900" w:h="16840"/>
      <w:pgMar w:top="1900" w:right="1701" w:bottom="1417" w:left="1701" w:header="0" w:footer="114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5BBF3" w14:textId="77777777" w:rsidR="006B30ED" w:rsidRDefault="006B30ED" w:rsidP="000B5631">
      <w:r>
        <w:separator/>
      </w:r>
    </w:p>
  </w:endnote>
  <w:endnote w:type="continuationSeparator" w:id="0">
    <w:p w14:paraId="46650C73" w14:textId="77777777" w:rsidR="006B30ED" w:rsidRDefault="006B30ED" w:rsidP="000B5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CA9D5" w14:textId="77777777" w:rsidR="003326F6" w:rsidRPr="00B46237" w:rsidRDefault="00B46237" w:rsidP="00B46237">
    <w:pPr>
      <w:pStyle w:val="Rodap"/>
      <w:jc w:val="right"/>
      <w:rPr>
        <w:sz w:val="22"/>
        <w:szCs w:val="22"/>
      </w:rPr>
    </w:pPr>
    <w:r w:rsidRPr="00CB1116">
      <w:rPr>
        <w:sz w:val="22"/>
        <w:szCs w:val="22"/>
      </w:rPr>
      <w:t>Documento de Requisitos Funcionais</w:t>
    </w:r>
    <w:r w:rsidRPr="00CB1116">
      <w:rPr>
        <w:rFonts w:ascii="Arial" w:hAnsi="Arial" w:cs="Arial"/>
        <w:noProof/>
        <w:sz w:val="22"/>
        <w:szCs w:val="22"/>
        <w:lang w:eastAsia="pt-BR"/>
      </w:rPr>
      <w:drawing>
        <wp:anchor distT="0" distB="0" distL="114300" distR="114300" simplePos="0" relativeHeight="251671552" behindDoc="1" locked="0" layoutInCell="1" allowOverlap="1" wp14:anchorId="705A370A" wp14:editId="4FFE5C44">
          <wp:simplePos x="0" y="0"/>
          <wp:positionH relativeFrom="page">
            <wp:posOffset>0</wp:posOffset>
          </wp:positionH>
          <wp:positionV relativeFrom="paragraph">
            <wp:posOffset>18415</wp:posOffset>
          </wp:positionV>
          <wp:extent cx="7747000" cy="1057275"/>
          <wp:effectExtent l="0" t="0" r="6350" b="9525"/>
          <wp:wrapNone/>
          <wp:docPr id="1599380977" name="Imagem 6" descr="Forma, Retângul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586593" name="Imagem 6" descr="Forma, Retângul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0" cy="1057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326F6">
      <w:rPr>
        <w:noProof/>
        <w:sz w:val="20"/>
        <w:szCs w:val="20"/>
        <w:lang w:eastAsia="pt-BR"/>
      </w:rPr>
      <w:drawing>
        <wp:anchor distT="0" distB="0" distL="114300" distR="114300" simplePos="0" relativeHeight="251670528" behindDoc="1" locked="0" layoutInCell="1" allowOverlap="1" wp14:anchorId="6C266A40" wp14:editId="18C71961">
          <wp:simplePos x="0" y="0"/>
          <wp:positionH relativeFrom="column">
            <wp:posOffset>-1127760</wp:posOffset>
          </wp:positionH>
          <wp:positionV relativeFrom="paragraph">
            <wp:posOffset>-123825</wp:posOffset>
          </wp:positionV>
          <wp:extent cx="7755255" cy="1226184"/>
          <wp:effectExtent l="0" t="0" r="0" b="0"/>
          <wp:wrapNone/>
          <wp:docPr id="38986344" name="Imagem 6" descr="Forma, Retângul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586593" name="Imagem 6" descr="Forma, Retângul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270" cy="1229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0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E6B48" w14:textId="77777777" w:rsidR="00AD78C6" w:rsidRPr="00B46237" w:rsidRDefault="00CB1116" w:rsidP="00B46237">
    <w:pPr>
      <w:pStyle w:val="Rodap"/>
      <w:jc w:val="right"/>
      <w:rPr>
        <w:sz w:val="22"/>
        <w:szCs w:val="22"/>
      </w:rPr>
    </w:pPr>
    <w:r w:rsidRPr="00CB1116">
      <w:rPr>
        <w:sz w:val="22"/>
        <w:szCs w:val="22"/>
      </w:rPr>
      <w:t>Documento de Requisitos Funcionais</w:t>
    </w:r>
    <w:r w:rsidRPr="00CB1116">
      <w:rPr>
        <w:rFonts w:ascii="Arial" w:hAnsi="Arial" w:cs="Arial"/>
        <w:noProof/>
        <w:sz w:val="22"/>
        <w:szCs w:val="22"/>
        <w:lang w:eastAsia="pt-BR"/>
      </w:rPr>
      <w:drawing>
        <wp:anchor distT="0" distB="0" distL="114300" distR="114300" simplePos="0" relativeHeight="251668480" behindDoc="1" locked="0" layoutInCell="1" allowOverlap="1" wp14:anchorId="67A67094" wp14:editId="0A0A5DCB">
          <wp:simplePos x="0" y="0"/>
          <wp:positionH relativeFrom="page">
            <wp:posOffset>0</wp:posOffset>
          </wp:positionH>
          <wp:positionV relativeFrom="paragraph">
            <wp:posOffset>18415</wp:posOffset>
          </wp:positionV>
          <wp:extent cx="7747000" cy="1057275"/>
          <wp:effectExtent l="0" t="0" r="6350" b="9525"/>
          <wp:wrapNone/>
          <wp:docPr id="809907341" name="Imagem 6" descr="Forma, Retângul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586593" name="Imagem 6" descr="Forma, Retângul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0" cy="1057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D78C6" w:rsidRPr="003326F6">
      <w:rPr>
        <w:noProof/>
        <w:sz w:val="20"/>
        <w:szCs w:val="20"/>
        <w:lang w:eastAsia="pt-BR"/>
      </w:rPr>
      <w:drawing>
        <wp:anchor distT="0" distB="0" distL="114300" distR="114300" simplePos="0" relativeHeight="251667456" behindDoc="1" locked="0" layoutInCell="1" allowOverlap="1" wp14:anchorId="0227C338" wp14:editId="4A78E36E">
          <wp:simplePos x="0" y="0"/>
          <wp:positionH relativeFrom="column">
            <wp:posOffset>-1127760</wp:posOffset>
          </wp:positionH>
          <wp:positionV relativeFrom="paragraph">
            <wp:posOffset>-123825</wp:posOffset>
          </wp:positionV>
          <wp:extent cx="7755255" cy="1226184"/>
          <wp:effectExtent l="0" t="0" r="0" b="0"/>
          <wp:wrapNone/>
          <wp:docPr id="729374027" name="Imagem 6" descr="Forma, Retângul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586593" name="Imagem 6" descr="Forma, Retângul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6270" cy="12295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D78C6">
      <w:rPr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FE911" w14:textId="77777777" w:rsidR="006B30ED" w:rsidRDefault="006B30ED" w:rsidP="000B5631">
      <w:r>
        <w:separator/>
      </w:r>
    </w:p>
  </w:footnote>
  <w:footnote w:type="continuationSeparator" w:id="0">
    <w:p w14:paraId="1EB762D4" w14:textId="77777777" w:rsidR="006B30ED" w:rsidRDefault="006B30ED" w:rsidP="000B56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AA2B5" w14:textId="77777777" w:rsidR="009A34AF" w:rsidRDefault="00B46237">
    <w:pPr>
      <w:pStyle w:val="Cabealho"/>
    </w:pPr>
    <w:r>
      <w:rPr>
        <w:noProof/>
      </w:rPr>
      <w:drawing>
        <wp:inline distT="0" distB="0" distL="0" distR="0" wp14:anchorId="7ABE7C76" wp14:editId="5F546AF9">
          <wp:extent cx="6481849" cy="937260"/>
          <wp:effectExtent l="0" t="0" r="0" b="0"/>
          <wp:docPr id="88282350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94992" cy="939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72E81" w14:textId="77777777" w:rsidR="00AD78C6" w:rsidRDefault="00B46237" w:rsidP="000B2CDF">
    <w:pPr>
      <w:pStyle w:val="Cabealho"/>
      <w:ind w:hanging="1701"/>
    </w:pPr>
    <w:r>
      <w:rPr>
        <w:noProof/>
      </w:rPr>
      <w:drawing>
        <wp:inline distT="0" distB="0" distL="0" distR="0" wp14:anchorId="28715CBA" wp14:editId="097D882C">
          <wp:extent cx="7535808" cy="1089660"/>
          <wp:effectExtent l="0" t="0" r="8255" b="0"/>
          <wp:docPr id="5673771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1094" cy="1091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A11"/>
    <w:multiLevelType w:val="multilevel"/>
    <w:tmpl w:val="79EA613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0635BFB"/>
    <w:multiLevelType w:val="hybridMultilevel"/>
    <w:tmpl w:val="5DF04FE2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43327F0"/>
    <w:multiLevelType w:val="multilevel"/>
    <w:tmpl w:val="68AABB3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5FC15A9"/>
    <w:multiLevelType w:val="multilevel"/>
    <w:tmpl w:val="B9D4B22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75B2CD7"/>
    <w:multiLevelType w:val="hybridMultilevel"/>
    <w:tmpl w:val="05E80CD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D916B31"/>
    <w:multiLevelType w:val="multilevel"/>
    <w:tmpl w:val="CD6EA9E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FC32DC6"/>
    <w:multiLevelType w:val="multilevel"/>
    <w:tmpl w:val="6E18F658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6B61A4E"/>
    <w:multiLevelType w:val="multilevel"/>
    <w:tmpl w:val="05529EC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73A502E"/>
    <w:multiLevelType w:val="multilevel"/>
    <w:tmpl w:val="C408F62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92044784">
    <w:abstractNumId w:val="6"/>
  </w:num>
  <w:num w:numId="2" w16cid:durableId="1311403984">
    <w:abstractNumId w:val="4"/>
  </w:num>
  <w:num w:numId="3" w16cid:durableId="1762752794">
    <w:abstractNumId w:val="1"/>
  </w:num>
  <w:num w:numId="4" w16cid:durableId="1416975358">
    <w:abstractNumId w:val="7"/>
  </w:num>
  <w:num w:numId="5" w16cid:durableId="1320227491">
    <w:abstractNumId w:val="2"/>
  </w:num>
  <w:num w:numId="6" w16cid:durableId="443382333">
    <w:abstractNumId w:val="0"/>
  </w:num>
  <w:num w:numId="7" w16cid:durableId="531461980">
    <w:abstractNumId w:val="3"/>
  </w:num>
  <w:num w:numId="8" w16cid:durableId="1288315120">
    <w:abstractNumId w:val="8"/>
  </w:num>
  <w:num w:numId="9" w16cid:durableId="3174192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631"/>
    <w:rsid w:val="00003573"/>
    <w:rsid w:val="00005EDE"/>
    <w:rsid w:val="00012A60"/>
    <w:rsid w:val="000455F6"/>
    <w:rsid w:val="000A52CA"/>
    <w:rsid w:val="000A537A"/>
    <w:rsid w:val="000B2CDF"/>
    <w:rsid w:val="000B5631"/>
    <w:rsid w:val="000B73E3"/>
    <w:rsid w:val="000C7183"/>
    <w:rsid w:val="0010111B"/>
    <w:rsid w:val="001142F6"/>
    <w:rsid w:val="001206A9"/>
    <w:rsid w:val="00157B49"/>
    <w:rsid w:val="00165E63"/>
    <w:rsid w:val="00185CFB"/>
    <w:rsid w:val="00191225"/>
    <w:rsid w:val="001C169B"/>
    <w:rsid w:val="001C1771"/>
    <w:rsid w:val="001E6494"/>
    <w:rsid w:val="00271E67"/>
    <w:rsid w:val="002E7DC2"/>
    <w:rsid w:val="002F7E76"/>
    <w:rsid w:val="0033074A"/>
    <w:rsid w:val="003326F6"/>
    <w:rsid w:val="00356A68"/>
    <w:rsid w:val="00390DF8"/>
    <w:rsid w:val="003C232A"/>
    <w:rsid w:val="0044775B"/>
    <w:rsid w:val="00463BB6"/>
    <w:rsid w:val="00472874"/>
    <w:rsid w:val="00481561"/>
    <w:rsid w:val="00493C5B"/>
    <w:rsid w:val="004E200E"/>
    <w:rsid w:val="0054351E"/>
    <w:rsid w:val="0055696D"/>
    <w:rsid w:val="00564123"/>
    <w:rsid w:val="00587EC7"/>
    <w:rsid w:val="005A2180"/>
    <w:rsid w:val="005E7BCA"/>
    <w:rsid w:val="00637CA8"/>
    <w:rsid w:val="00653DA3"/>
    <w:rsid w:val="0067410C"/>
    <w:rsid w:val="006B30ED"/>
    <w:rsid w:val="0070018E"/>
    <w:rsid w:val="00713890"/>
    <w:rsid w:val="00741B9B"/>
    <w:rsid w:val="00760011"/>
    <w:rsid w:val="007636E2"/>
    <w:rsid w:val="00773FA5"/>
    <w:rsid w:val="007B2148"/>
    <w:rsid w:val="007C1DFC"/>
    <w:rsid w:val="007C76D2"/>
    <w:rsid w:val="00817927"/>
    <w:rsid w:val="00881B5A"/>
    <w:rsid w:val="00887055"/>
    <w:rsid w:val="008B485A"/>
    <w:rsid w:val="008D05C7"/>
    <w:rsid w:val="008E2CC2"/>
    <w:rsid w:val="00915F83"/>
    <w:rsid w:val="00922A24"/>
    <w:rsid w:val="009837D4"/>
    <w:rsid w:val="009A1D71"/>
    <w:rsid w:val="009A34AF"/>
    <w:rsid w:val="009C54BC"/>
    <w:rsid w:val="009F37E1"/>
    <w:rsid w:val="009F50A3"/>
    <w:rsid w:val="00AA5F34"/>
    <w:rsid w:val="00AD78C6"/>
    <w:rsid w:val="00B46237"/>
    <w:rsid w:val="00B81302"/>
    <w:rsid w:val="00B91757"/>
    <w:rsid w:val="00B9176C"/>
    <w:rsid w:val="00B96D3E"/>
    <w:rsid w:val="00BB1549"/>
    <w:rsid w:val="00BC1ED7"/>
    <w:rsid w:val="00BD7294"/>
    <w:rsid w:val="00C3391D"/>
    <w:rsid w:val="00C33C7A"/>
    <w:rsid w:val="00C55CB8"/>
    <w:rsid w:val="00C631BD"/>
    <w:rsid w:val="00CB1116"/>
    <w:rsid w:val="00CE3970"/>
    <w:rsid w:val="00CF1A85"/>
    <w:rsid w:val="00D2236E"/>
    <w:rsid w:val="00DD03F0"/>
    <w:rsid w:val="00DD4E8B"/>
    <w:rsid w:val="00DE1834"/>
    <w:rsid w:val="00DF77A0"/>
    <w:rsid w:val="00E14399"/>
    <w:rsid w:val="00E510C2"/>
    <w:rsid w:val="00E6111F"/>
    <w:rsid w:val="00EC62E9"/>
    <w:rsid w:val="00EF16A6"/>
    <w:rsid w:val="00FF3229"/>
    <w:rsid w:val="12B3A12E"/>
    <w:rsid w:val="76348C55"/>
    <w:rsid w:val="76465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453A05"/>
  <w15:chartTrackingRefBased/>
  <w15:docId w15:val="{C6212E1A-9650-6946-98FC-1944C571C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116"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B111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B5631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B563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0B5631"/>
    <w:rPr>
      <w:vertAlign w:val="superscript"/>
    </w:rPr>
  </w:style>
  <w:style w:type="paragraph" w:styleId="Cabealho">
    <w:name w:val="header"/>
    <w:basedOn w:val="Normal"/>
    <w:link w:val="CabealhoChar"/>
    <w:unhideWhenUsed/>
    <w:rsid w:val="009A34A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A34AF"/>
  </w:style>
  <w:style w:type="paragraph" w:styleId="Rodap">
    <w:name w:val="footer"/>
    <w:basedOn w:val="Normal"/>
    <w:link w:val="RodapChar"/>
    <w:uiPriority w:val="99"/>
    <w:unhideWhenUsed/>
    <w:rsid w:val="009A34A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A34AF"/>
  </w:style>
  <w:style w:type="character" w:styleId="Hyperlink">
    <w:name w:val="Hyperlink"/>
    <w:basedOn w:val="Fontepargpadro"/>
    <w:uiPriority w:val="99"/>
    <w:unhideWhenUsed/>
    <w:rsid w:val="0033074A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9C54BC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1142F6"/>
    <w:pPr>
      <w:spacing w:after="160" w:line="259" w:lineRule="auto"/>
      <w:ind w:left="720"/>
      <w:contextualSpacing/>
    </w:pPr>
    <w:rPr>
      <w:sz w:val="22"/>
      <w:szCs w:val="22"/>
      <w14:ligatures w14:val="none"/>
    </w:rPr>
  </w:style>
  <w:style w:type="table" w:styleId="Tabelacomgrade">
    <w:name w:val="Table Grid"/>
    <w:basedOn w:val="Tabelanormal"/>
    <w:uiPriority w:val="39"/>
    <w:rsid w:val="001142F6"/>
    <w:rPr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142F6"/>
    <w:pPr>
      <w:autoSpaceDE w:val="0"/>
      <w:autoSpaceDN w:val="0"/>
      <w:adjustRightInd w:val="0"/>
    </w:pPr>
    <w:rPr>
      <w:rFonts w:ascii="Calibri" w:hAnsi="Calibri" w:cs="Calibri"/>
      <w:color w:val="000000"/>
      <w:kern w:val="0"/>
      <w14:ligatures w14:val="none"/>
    </w:rPr>
  </w:style>
  <w:style w:type="character" w:styleId="Forte">
    <w:name w:val="Strong"/>
    <w:basedOn w:val="Fontepargpadro"/>
    <w:qFormat/>
    <w:rsid w:val="00C3391D"/>
    <w:rPr>
      <w:b/>
      <w:bCs/>
    </w:rPr>
  </w:style>
  <w:style w:type="paragraph" w:styleId="Corpodetexto">
    <w:name w:val="Body Text"/>
    <w:basedOn w:val="Normal"/>
    <w:link w:val="CorpodetextoChar"/>
    <w:rsid w:val="00C3391D"/>
    <w:pPr>
      <w:widowControl w:val="0"/>
      <w:suppressAutoHyphens/>
      <w:spacing w:line="480" w:lineRule="auto"/>
      <w:jc w:val="both"/>
    </w:pPr>
    <w:rPr>
      <w:rFonts w:ascii="Arial" w:eastAsia="Times New Roman" w:hAnsi="Arial" w:cs="Arial"/>
      <w:kern w:val="0"/>
      <w:sz w:val="20"/>
      <w:szCs w:val="20"/>
      <w:lang w:eastAsia="zh-CN"/>
      <w14:ligatures w14:val="none"/>
    </w:rPr>
  </w:style>
  <w:style w:type="character" w:customStyle="1" w:styleId="CorpodetextoChar">
    <w:name w:val="Corpo de texto Char"/>
    <w:basedOn w:val="Fontepargpadro"/>
    <w:link w:val="Corpodetexto"/>
    <w:rsid w:val="00C3391D"/>
    <w:rPr>
      <w:rFonts w:ascii="Arial" w:eastAsia="Times New Roman" w:hAnsi="Arial" w:cs="Arial"/>
      <w:kern w:val="0"/>
      <w:sz w:val="20"/>
      <w:szCs w:val="20"/>
      <w:lang w:eastAsia="zh-CN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1439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E1439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E1439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1439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14399"/>
    <w:rPr>
      <w:b/>
      <w:bCs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rsid w:val="00CB11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nfaseIntensa">
    <w:name w:val="Intense Emphasis"/>
    <w:basedOn w:val="Fontepargpadro"/>
    <w:uiPriority w:val="21"/>
    <w:qFormat/>
    <w:rsid w:val="00B46237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F9C04BE3FBB04DBBDED9655E3195EB" ma:contentTypeVersion="10" ma:contentTypeDescription="Crie um novo documento." ma:contentTypeScope="" ma:versionID="c1a0f10ce604b9316957d5d42ba63f2b">
  <xsd:schema xmlns:xsd="http://www.w3.org/2001/XMLSchema" xmlns:xs="http://www.w3.org/2001/XMLSchema" xmlns:p="http://schemas.microsoft.com/office/2006/metadata/properties" xmlns:ns2="fdfc411f-beb5-4caa-83ca-d3d991d729e6" xmlns:ns3="195f949a-815a-41a1-8481-d2fa6b38ae16" targetNamespace="http://schemas.microsoft.com/office/2006/metadata/properties" ma:root="true" ma:fieldsID="f3b9ad2f77723224cf9ad9f49a14f484" ns2:_="" ns3:_="">
    <xsd:import namespace="fdfc411f-beb5-4caa-83ca-d3d991d729e6"/>
    <xsd:import namespace="195f949a-815a-41a1-8481-d2fa6b38ae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fc411f-beb5-4caa-83ca-d3d991d729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11000289-e8e0-4655-aaa4-6ce2e2879b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5f949a-815a-41a1-8481-d2fa6b38ae1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435d2e3-0afd-46be-86cd-1a15939b52cc}" ma:internalName="TaxCatchAll" ma:showField="CatchAllData" ma:web="195f949a-815a-41a1-8481-d2fa6b38ae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fc411f-beb5-4caa-83ca-d3d991d729e6">
      <Terms xmlns="http://schemas.microsoft.com/office/infopath/2007/PartnerControls"/>
    </lcf76f155ced4ddcb4097134ff3c332f>
    <TaxCatchAll xmlns="195f949a-815a-41a1-8481-d2fa6b38ae16" xsi:nil="true"/>
  </documentManagement>
</p:properties>
</file>

<file path=customXml/itemProps1.xml><?xml version="1.0" encoding="utf-8"?>
<ds:datastoreItem xmlns:ds="http://schemas.openxmlformats.org/officeDocument/2006/customXml" ds:itemID="{8F329D2F-CB3F-4808-947D-9977823B29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779346B-1497-41C0-9958-E1360BFC85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2366AD-7B4F-4A17-8EE6-7CB43F5793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fc411f-beb5-4caa-83ca-d3d991d729e6"/>
    <ds:schemaRef ds:uri="195f949a-815a-41a1-8481-d2fa6b38ae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D0B818E-7C1B-4103-B1B8-942693677DBB}">
  <ds:schemaRefs>
    <ds:schemaRef ds:uri="http://schemas.microsoft.com/office/2006/metadata/properties"/>
    <ds:schemaRef ds:uri="http://schemas.microsoft.com/office/infopath/2007/PartnerControls"/>
    <ds:schemaRef ds:uri="fdfc411f-beb5-4caa-83ca-d3d991d729e6"/>
    <ds:schemaRef ds:uri="195f949a-815a-41a1-8481-d2fa6b38ae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976</Words>
  <Characters>5272</Characters>
  <Application>Microsoft Office Word</Application>
  <DocSecurity>0</DocSecurity>
  <Lines>43</Lines>
  <Paragraphs>12</Paragraphs>
  <ScaleCrop>false</ScaleCrop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Ipojucan Simões dos santos</dc:creator>
  <cp:keywords/>
  <dc:description/>
  <cp:lastModifiedBy>Rodrigo de Jesus Macedo</cp:lastModifiedBy>
  <cp:revision>2</cp:revision>
  <dcterms:created xsi:type="dcterms:W3CDTF">2026-09-03T23:24:00Z</dcterms:created>
  <dcterms:modified xsi:type="dcterms:W3CDTF">2026-09-03T23:24:00Z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0x010100CDF9C04BE3FBB04DBBDED9655E3195EB</vt:lpwstr>
  </property>
  <property fmtid="{D5CDD505-2E9C-101B-9397-08002B2CF9AE}" pid="3" name="MediaServiceImageTags">
    <vt:lpwstr/>
  </property>
</Properties>
</file>