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Unpacking the  knowledge circuit of Chilean academic economists:  Gender, Networks, and Regions </w:t>
      </w:r>
    </w:p>
    <w:p w:rsidR="00000000" w:rsidDel="00000000" w:rsidP="00000000" w:rsidRDefault="00000000" w:rsidRPr="00000000" w14:paraId="00000002">
      <w:pPr>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03">
      <w:pPr>
        <w:rPr>
          <w:rFonts w:ascii="Garamond" w:cs="Garamond" w:eastAsia="Garamond" w:hAnsi="Garamond"/>
          <w:color w:val="222222"/>
          <w:sz w:val="28"/>
          <w:szCs w:val="28"/>
        </w:rPr>
      </w:pPr>
      <w:r w:rsidDel="00000000" w:rsidR="00000000" w:rsidRPr="00000000">
        <w:rPr>
          <w:rFonts w:ascii="Garamond" w:cs="Garamond" w:eastAsia="Garamond" w:hAnsi="Garamond"/>
          <w:color w:val="222222"/>
          <w:sz w:val="28"/>
          <w:szCs w:val="28"/>
          <w:rtl w:val="0"/>
        </w:rPr>
        <w:t xml:space="preserve">Main request for the RA: </w:t>
      </w:r>
    </w:p>
    <w:p w:rsidR="00000000" w:rsidDel="00000000" w:rsidP="00000000" w:rsidRDefault="00000000" w:rsidRPr="00000000" w14:paraId="00000004">
      <w:pPr>
        <w:numPr>
          <w:ilvl w:val="0"/>
          <w:numId w:val="1"/>
        </w:numPr>
        <w:ind w:left="720" w:hanging="36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Network analysis of co-authorship in economics </w:t>
      </w:r>
    </w:p>
    <w:p w:rsidR="00000000" w:rsidDel="00000000" w:rsidP="00000000" w:rsidRDefault="00000000" w:rsidRPr="00000000" w14:paraId="00000005">
      <w:pPr>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06">
      <w:pPr>
        <w:shd w:fill="ffffff" w:val="clear"/>
        <w:spacing w:after="280" w:line="240" w:lineRule="auto"/>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Objectives:</w:t>
      </w:r>
    </w:p>
    <w:p w:rsidR="00000000" w:rsidDel="00000000" w:rsidP="00000000" w:rsidRDefault="00000000" w:rsidRPr="00000000" w14:paraId="00000007">
      <w:pPr>
        <w:numPr>
          <w:ilvl w:val="0"/>
          <w:numId w:val="3"/>
        </w:numPr>
        <w:shd w:fill="ffffff" w:val="clear"/>
        <w:spacing w:after="0" w:afterAutospacing="0" w:line="240" w:lineRule="auto"/>
        <w:ind w:left="720" w:hanging="360"/>
        <w:rPr>
          <w:rFonts w:ascii="Garamond" w:cs="Garamond" w:eastAsia="Garamond" w:hAnsi="Garamond"/>
          <w:color w:val="222222"/>
          <w:sz w:val="28"/>
          <w:szCs w:val="28"/>
        </w:rPr>
      </w:pPr>
      <w:r w:rsidDel="00000000" w:rsidR="00000000" w:rsidRPr="00000000">
        <w:rPr>
          <w:rFonts w:ascii="Garamond" w:cs="Garamond" w:eastAsia="Garamond" w:hAnsi="Garamond"/>
          <w:color w:val="222222"/>
          <w:sz w:val="28"/>
          <w:szCs w:val="28"/>
          <w:rtl w:val="0"/>
        </w:rPr>
        <w:t xml:space="preserve">Analyze how country affiliation of research team relate to the impact of publications in economics</w:t>
      </w:r>
    </w:p>
    <w:p w:rsidR="00000000" w:rsidDel="00000000" w:rsidP="00000000" w:rsidRDefault="00000000" w:rsidRPr="00000000" w14:paraId="00000008">
      <w:pPr>
        <w:numPr>
          <w:ilvl w:val="0"/>
          <w:numId w:val="3"/>
        </w:numPr>
        <w:shd w:fill="ffffff" w:val="clear"/>
        <w:spacing w:after="0" w:afterAutospacing="0" w:line="240" w:lineRule="auto"/>
        <w:ind w:left="720" w:hanging="360"/>
        <w:rPr>
          <w:rFonts w:ascii="Garamond" w:cs="Garamond" w:eastAsia="Garamond" w:hAnsi="Garamond"/>
          <w:color w:val="222222"/>
          <w:sz w:val="28"/>
          <w:szCs w:val="28"/>
        </w:rPr>
      </w:pPr>
      <w:commentRangeStart w:id="0"/>
      <w:r w:rsidDel="00000000" w:rsidR="00000000" w:rsidRPr="00000000">
        <w:rPr>
          <w:rFonts w:ascii="Garamond" w:cs="Garamond" w:eastAsia="Garamond" w:hAnsi="Garamond"/>
          <w:color w:val="222222"/>
          <w:sz w:val="28"/>
          <w:szCs w:val="28"/>
          <w:rtl w:val="0"/>
        </w:rPr>
        <w:t xml:space="preserve">Analyze how gender-composition of research team relate to the citation of publication across different career stages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3"/>
        </w:numPr>
        <w:shd w:fill="ffffff" w:val="clear"/>
        <w:spacing w:after="28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Analyze the extent in which the position of academic elite of Chilean economics relates to their patterns of research collaboration </w:t>
      </w:r>
    </w:p>
    <w:p w:rsidR="00000000" w:rsidDel="00000000" w:rsidP="00000000" w:rsidRDefault="00000000" w:rsidRPr="00000000" w14:paraId="0000000A">
      <w:pPr>
        <w:shd w:fill="ffffff" w:val="clear"/>
        <w:spacing w:after="280" w:line="240" w:lineRule="auto"/>
        <w:ind w:left="0" w:firstLine="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Data: </w:t>
      </w:r>
    </w:p>
    <w:p w:rsidR="00000000" w:rsidDel="00000000" w:rsidP="00000000" w:rsidRDefault="00000000" w:rsidRPr="00000000" w14:paraId="0000000B">
      <w:pPr>
        <w:numPr>
          <w:ilvl w:val="0"/>
          <w:numId w:val="5"/>
        </w:numPr>
        <w:shd w:fill="ffffff" w:val="clear"/>
        <w:spacing w:after="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It includes the co-authorship networks of 214 economists who are working as </w:t>
      </w:r>
      <w:r w:rsidDel="00000000" w:rsidR="00000000" w:rsidRPr="00000000">
        <w:rPr>
          <w:rFonts w:ascii="Garamond" w:cs="Garamond" w:eastAsia="Garamond" w:hAnsi="Garamond"/>
          <w:b w:val="1"/>
          <w:color w:val="222222"/>
          <w:sz w:val="28"/>
          <w:szCs w:val="28"/>
          <w:rtl w:val="0"/>
        </w:rPr>
        <w:t xml:space="preserve">academics in tenure track positions in  12 economics departments in Chile</w:t>
      </w:r>
      <w:r w:rsidDel="00000000" w:rsidR="00000000" w:rsidRPr="00000000">
        <w:rPr>
          <w:rFonts w:ascii="Garamond" w:cs="Garamond" w:eastAsia="Garamond" w:hAnsi="Garamond"/>
          <w:color w:val="222222"/>
          <w:sz w:val="28"/>
          <w:szCs w:val="28"/>
          <w:rtl w:val="0"/>
        </w:rPr>
        <w:t xml:space="preserve">.</w:t>
      </w:r>
    </w:p>
    <w:p w:rsidR="00000000" w:rsidDel="00000000" w:rsidP="00000000" w:rsidRDefault="00000000" w:rsidRPr="00000000" w14:paraId="0000000C">
      <w:pPr>
        <w:numPr>
          <w:ilvl w:val="0"/>
          <w:numId w:val="5"/>
        </w:numPr>
        <w:shd w:fill="ffffff" w:val="clear"/>
        <w:spacing w:after="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These 214 authors wrote 2,669 unique publications with others 2</w:t>
      </w:r>
      <w:commentRangeStart w:id="1"/>
      <w:r w:rsidDel="00000000" w:rsidR="00000000" w:rsidRPr="00000000">
        <w:rPr>
          <w:rFonts w:ascii="Garamond" w:cs="Garamond" w:eastAsia="Garamond" w:hAnsi="Garamond"/>
          <w:color w:val="222222"/>
          <w:sz w:val="28"/>
          <w:szCs w:val="28"/>
          <w:rtl w:val="0"/>
        </w:rPr>
        <w:t xml:space="preserve">856 unique collaborators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numPr>
          <w:ilvl w:val="0"/>
          <w:numId w:val="5"/>
        </w:numPr>
        <w:shd w:fill="ffffff" w:val="clear"/>
        <w:spacing w:after="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color w:val="222222"/>
          <w:sz w:val="28"/>
          <w:szCs w:val="28"/>
          <w:rtl w:val="0"/>
        </w:rPr>
        <w:t xml:space="preserve">The data was extracted from  Scopus during the month of May 2022. </w:t>
      </w:r>
    </w:p>
    <w:p w:rsidR="00000000" w:rsidDel="00000000" w:rsidP="00000000" w:rsidRDefault="00000000" w:rsidRPr="00000000" w14:paraId="0000000E">
      <w:pPr>
        <w:shd w:fill="ffffff" w:val="clear"/>
        <w:spacing w:after="0" w:line="240" w:lineRule="auto"/>
        <w:ind w:left="0" w:firstLine="0"/>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0F">
      <w:pPr>
        <w:shd w:fill="ffffff" w:val="clear"/>
        <w:spacing w:after="0" w:line="240" w:lineRule="auto"/>
        <w:ind w:left="0" w:firstLine="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6 data sets: </w:t>
      </w:r>
    </w:p>
    <w:p w:rsidR="00000000" w:rsidDel="00000000" w:rsidP="00000000" w:rsidRDefault="00000000" w:rsidRPr="00000000" w14:paraId="00000010">
      <w:pPr>
        <w:numPr>
          <w:ilvl w:val="0"/>
          <w:numId w:val="2"/>
        </w:numPr>
        <w:shd w:fill="ffffff" w:val="clear"/>
        <w:spacing w:after="0" w:afterAutospacing="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b w:val="1"/>
          <w:color w:val="222222"/>
          <w:sz w:val="28"/>
          <w:szCs w:val="28"/>
          <w:rtl w:val="0"/>
        </w:rPr>
        <w:t xml:space="preserve">Authors:</w:t>
      </w:r>
      <w:r w:rsidDel="00000000" w:rsidR="00000000" w:rsidRPr="00000000">
        <w:rPr>
          <w:rFonts w:ascii="Garamond" w:cs="Garamond" w:eastAsia="Garamond" w:hAnsi="Garamond"/>
          <w:color w:val="222222"/>
          <w:sz w:val="28"/>
          <w:szCs w:val="28"/>
          <w:rtl w:val="0"/>
        </w:rPr>
        <w:t xml:space="preserve"> 3070 cases. Unique authors, 214 are academics working in Chilean universities.  Authors´ attributes are included.</w:t>
      </w:r>
    </w:p>
    <w:p w:rsidR="00000000" w:rsidDel="00000000" w:rsidP="00000000" w:rsidRDefault="00000000" w:rsidRPr="00000000" w14:paraId="00000011">
      <w:pPr>
        <w:numPr>
          <w:ilvl w:val="0"/>
          <w:numId w:val="2"/>
        </w:numPr>
        <w:shd w:fill="ffffff" w:val="clear"/>
        <w:spacing w:after="0" w:afterAutospacing="0" w:line="240" w:lineRule="auto"/>
        <w:ind w:left="720" w:hanging="360"/>
        <w:rPr>
          <w:rFonts w:ascii="Garamond" w:cs="Garamond" w:eastAsia="Garamond" w:hAnsi="Garamond"/>
          <w:color w:val="222222"/>
          <w:sz w:val="28"/>
          <w:szCs w:val="28"/>
          <w:u w:val="none"/>
        </w:rPr>
      </w:pPr>
      <w:r w:rsidDel="00000000" w:rsidR="00000000" w:rsidRPr="00000000">
        <w:rPr>
          <w:rFonts w:ascii="Garamond" w:cs="Garamond" w:eastAsia="Garamond" w:hAnsi="Garamond"/>
          <w:b w:val="1"/>
          <w:color w:val="222222"/>
          <w:sz w:val="28"/>
          <w:szCs w:val="28"/>
          <w:rtl w:val="0"/>
        </w:rPr>
        <w:t xml:space="preserve">ScopusPublications:</w:t>
      </w:r>
      <w:r w:rsidDel="00000000" w:rsidR="00000000" w:rsidRPr="00000000">
        <w:rPr>
          <w:rFonts w:ascii="Garamond" w:cs="Garamond" w:eastAsia="Garamond" w:hAnsi="Garamond"/>
          <w:color w:val="222222"/>
          <w:sz w:val="28"/>
          <w:szCs w:val="28"/>
          <w:rtl w:val="0"/>
        </w:rPr>
        <w:t xml:space="preserve"> 2669  cases. Unique publications published from 1965 to 2022. Publications´ attributes are included.</w:t>
      </w:r>
    </w:p>
    <w:p w:rsidR="00000000" w:rsidDel="00000000" w:rsidP="00000000" w:rsidRDefault="00000000" w:rsidRPr="00000000" w14:paraId="00000012">
      <w:pPr>
        <w:numPr>
          <w:ilvl w:val="0"/>
          <w:numId w:val="2"/>
        </w:numPr>
        <w:shd w:fill="ffffff" w:val="clear"/>
        <w:spacing w:after="0" w:afterAutospacing="0" w:line="240" w:lineRule="auto"/>
        <w:ind w:left="720" w:hanging="360"/>
        <w:rPr>
          <w:rFonts w:ascii="Garamond" w:cs="Garamond" w:eastAsia="Garamond" w:hAnsi="Garamond"/>
          <w:color w:val="222222"/>
          <w:sz w:val="28"/>
          <w:szCs w:val="28"/>
        </w:rPr>
      </w:pPr>
      <w:r w:rsidDel="00000000" w:rsidR="00000000" w:rsidRPr="00000000">
        <w:rPr>
          <w:rFonts w:ascii="Garamond" w:cs="Garamond" w:eastAsia="Garamond" w:hAnsi="Garamond"/>
          <w:b w:val="1"/>
          <w:color w:val="222222"/>
          <w:sz w:val="28"/>
          <w:szCs w:val="28"/>
          <w:rtl w:val="0"/>
        </w:rPr>
        <w:t xml:space="preserve">AuthorsJournalAreas: </w:t>
      </w:r>
      <w:r w:rsidDel="00000000" w:rsidR="00000000" w:rsidRPr="00000000">
        <w:rPr>
          <w:rFonts w:ascii="Garamond" w:cs="Garamond" w:eastAsia="Garamond" w:hAnsi="Garamond"/>
          <w:color w:val="222222"/>
          <w:sz w:val="28"/>
          <w:szCs w:val="28"/>
          <w:rtl w:val="0"/>
        </w:rPr>
        <w:t xml:space="preserve">51108 cases. Authors Ids are repeated as many times as disciplinary areas they are associated with. </w:t>
      </w:r>
    </w:p>
    <w:p w:rsidR="00000000" w:rsidDel="00000000" w:rsidP="00000000" w:rsidRDefault="00000000" w:rsidRPr="00000000" w14:paraId="00000013">
      <w:pPr>
        <w:numPr>
          <w:ilvl w:val="0"/>
          <w:numId w:val="2"/>
        </w:numPr>
        <w:shd w:fill="ffffff" w:val="clear"/>
        <w:spacing w:after="0" w:afterAutospacing="0" w:line="240" w:lineRule="auto"/>
        <w:ind w:left="720" w:hanging="360"/>
        <w:rPr>
          <w:rFonts w:ascii="Garamond" w:cs="Garamond" w:eastAsia="Garamond" w:hAnsi="Garamond"/>
          <w:color w:val="222222"/>
          <w:sz w:val="28"/>
          <w:szCs w:val="28"/>
        </w:rPr>
      </w:pPr>
      <w:r w:rsidDel="00000000" w:rsidR="00000000" w:rsidRPr="00000000">
        <w:rPr>
          <w:rFonts w:ascii="Garamond" w:cs="Garamond" w:eastAsia="Garamond" w:hAnsi="Garamond"/>
          <w:b w:val="1"/>
          <w:color w:val="222222"/>
          <w:sz w:val="28"/>
          <w:szCs w:val="28"/>
          <w:rtl w:val="0"/>
        </w:rPr>
        <w:t xml:space="preserve">AuthorAffiliationHistory: </w:t>
      </w:r>
      <w:r w:rsidDel="00000000" w:rsidR="00000000" w:rsidRPr="00000000">
        <w:rPr>
          <w:rFonts w:ascii="Garamond" w:cs="Garamond" w:eastAsia="Garamond" w:hAnsi="Garamond"/>
          <w:color w:val="222222"/>
          <w:sz w:val="28"/>
          <w:szCs w:val="28"/>
          <w:rtl w:val="0"/>
        </w:rPr>
        <w:t xml:space="preserve">29918 cases.</w:t>
      </w:r>
      <w:r w:rsidDel="00000000" w:rsidR="00000000" w:rsidRPr="00000000">
        <w:rPr>
          <w:rFonts w:ascii="Garamond" w:cs="Garamond" w:eastAsia="Garamond" w:hAnsi="Garamond"/>
          <w:b w:val="1"/>
          <w:color w:val="222222"/>
          <w:sz w:val="28"/>
          <w:szCs w:val="28"/>
          <w:rtl w:val="0"/>
        </w:rPr>
        <w:t xml:space="preserve"> </w:t>
      </w:r>
      <w:r w:rsidDel="00000000" w:rsidR="00000000" w:rsidRPr="00000000">
        <w:rPr>
          <w:rFonts w:ascii="Garamond" w:cs="Garamond" w:eastAsia="Garamond" w:hAnsi="Garamond"/>
          <w:color w:val="222222"/>
          <w:sz w:val="28"/>
          <w:szCs w:val="28"/>
          <w:rtl w:val="0"/>
        </w:rPr>
        <w:t xml:space="preserve">18532 unique different institutions appear to be affiliated with 2406 authors (out of 3070).  Authors Id are repeated as many  times as the different institutional affiliations they have reported throughout the time they have been publishing.  Missing affiliation for 664 authors, 21 are working Chilean economists.</w:t>
      </w:r>
    </w:p>
    <w:p w:rsidR="00000000" w:rsidDel="00000000" w:rsidP="00000000" w:rsidRDefault="00000000" w:rsidRPr="00000000" w14:paraId="00000014">
      <w:pPr>
        <w:numPr>
          <w:ilvl w:val="0"/>
          <w:numId w:val="2"/>
        </w:numPr>
        <w:shd w:fill="ffffff" w:val="clear"/>
        <w:spacing w:after="0" w:afterAutospacing="0" w:line="240" w:lineRule="auto"/>
        <w:ind w:left="720" w:hanging="36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InstitutionsAttributes: </w:t>
      </w:r>
      <w:r w:rsidDel="00000000" w:rsidR="00000000" w:rsidRPr="00000000">
        <w:rPr>
          <w:rFonts w:ascii="Garamond" w:cs="Garamond" w:eastAsia="Garamond" w:hAnsi="Garamond"/>
          <w:color w:val="222222"/>
          <w:sz w:val="28"/>
          <w:szCs w:val="28"/>
          <w:rtl w:val="0"/>
        </w:rPr>
        <w:t xml:space="preserve">18532 cases. Attributes of institutions included.</w:t>
      </w:r>
    </w:p>
    <w:p w:rsidR="00000000" w:rsidDel="00000000" w:rsidP="00000000" w:rsidRDefault="00000000" w:rsidRPr="00000000" w14:paraId="00000015">
      <w:pPr>
        <w:numPr>
          <w:ilvl w:val="0"/>
          <w:numId w:val="2"/>
        </w:numPr>
        <w:shd w:fill="ffffff" w:val="clear"/>
        <w:spacing w:after="280" w:line="240" w:lineRule="auto"/>
        <w:ind w:left="720" w:hanging="360"/>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Pub_link_Authors: </w:t>
      </w:r>
      <w:r w:rsidDel="00000000" w:rsidR="00000000" w:rsidRPr="00000000">
        <w:rPr>
          <w:rFonts w:ascii="Garamond" w:cs="Garamond" w:eastAsia="Garamond" w:hAnsi="Garamond"/>
          <w:color w:val="222222"/>
          <w:sz w:val="28"/>
          <w:szCs w:val="28"/>
          <w:rtl w:val="0"/>
        </w:rPr>
        <w:t xml:space="preserve">7804 rows, 3070 authors linked to 2669 publications. Id publication is repeated as many times as the number of authors. </w:t>
      </w:r>
    </w:p>
    <w:p w:rsidR="00000000" w:rsidDel="00000000" w:rsidP="00000000" w:rsidRDefault="00000000" w:rsidRPr="00000000" w14:paraId="00000016">
      <w:pPr>
        <w:shd w:fill="ffffff" w:val="clear"/>
        <w:spacing w:after="280" w:line="240" w:lineRule="auto"/>
        <w:ind w:left="0" w:firstLine="0"/>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17">
      <w:pPr>
        <w:shd w:fill="ffffff" w:val="clear"/>
        <w:spacing w:after="280" w:line="240" w:lineRule="auto"/>
        <w:ind w:left="0" w:firstLine="0"/>
        <w:rPr>
          <w:rFonts w:ascii="Garamond" w:cs="Garamond" w:eastAsia="Garamond" w:hAnsi="Garamond"/>
          <w:b w:val="1"/>
          <w:color w:val="222222"/>
          <w:sz w:val="28"/>
          <w:szCs w:val="28"/>
        </w:rPr>
      </w:pPr>
      <w:r w:rsidDel="00000000" w:rsidR="00000000" w:rsidRPr="00000000">
        <w:rPr>
          <w:rtl w:val="0"/>
        </w:rPr>
      </w:r>
    </w:p>
    <w:p w:rsidR="00000000" w:rsidDel="00000000" w:rsidP="00000000" w:rsidRDefault="00000000" w:rsidRPr="00000000" w14:paraId="00000018">
      <w:pPr>
        <w:shd w:fill="ffffff" w:val="clear"/>
        <w:spacing w:after="280" w:line="240" w:lineRule="auto"/>
        <w:ind w:left="0" w:firstLine="0"/>
        <w:rPr>
          <w:rFonts w:ascii="Garamond" w:cs="Garamond" w:eastAsia="Garamond" w:hAnsi="Garamond"/>
          <w:b w:val="1"/>
          <w:color w:val="222222"/>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Garamond" w:cs="Garamond" w:eastAsia="Garamond" w:hAnsi="Garamond"/>
          <w:b w:val="1"/>
          <w:color w:val="222222"/>
          <w:sz w:val="28"/>
          <w:szCs w:val="28"/>
        </w:rPr>
      </w:pPr>
      <w:r w:rsidDel="00000000" w:rsidR="00000000" w:rsidRPr="00000000">
        <w:rPr>
          <w:rFonts w:ascii="Garamond" w:cs="Garamond" w:eastAsia="Garamond" w:hAnsi="Garamond"/>
          <w:b w:val="1"/>
          <w:color w:val="222222"/>
          <w:sz w:val="28"/>
          <w:szCs w:val="28"/>
          <w:rtl w:val="0"/>
        </w:rPr>
        <w:t xml:space="preserve">Potential arguments to justify this analysis: </w:t>
      </w:r>
    </w:p>
    <w:p w:rsidR="00000000" w:rsidDel="00000000" w:rsidP="00000000" w:rsidRDefault="00000000" w:rsidRPr="00000000" w14:paraId="0000001B">
      <w:pPr>
        <w:ind w:left="0" w:firstLine="0"/>
        <w:rPr>
          <w:rFonts w:ascii="Garamond" w:cs="Garamond" w:eastAsia="Garamond" w:hAnsi="Garamond"/>
          <w:color w:val="222222"/>
          <w:sz w:val="28"/>
          <w:szCs w:val="28"/>
        </w:rPr>
      </w:pPr>
      <w:r w:rsidDel="00000000" w:rsidR="00000000" w:rsidRPr="00000000">
        <w:rPr>
          <w:rtl w:val="0"/>
        </w:rPr>
      </w:r>
    </w:p>
    <w:p w:rsidR="00000000" w:rsidDel="00000000" w:rsidP="00000000" w:rsidRDefault="00000000" w:rsidRPr="00000000" w14:paraId="0000001C">
      <w:pPr>
        <w:numPr>
          <w:ilvl w:val="0"/>
          <w:numId w:val="4"/>
        </w:numPr>
        <w:shd w:fill="ffffff" w:val="clear"/>
        <w:spacing w:after="0" w:afterAutospacing="0" w:line="240" w:lineRule="auto"/>
        <w:ind w:left="720" w:hanging="360"/>
      </w:pPr>
      <w:r w:rsidDel="00000000" w:rsidR="00000000" w:rsidRPr="00000000">
        <w:rPr>
          <w:rFonts w:ascii="Garamond" w:cs="Garamond" w:eastAsia="Garamond" w:hAnsi="Garamond"/>
          <w:color w:val="222222"/>
          <w:sz w:val="28"/>
          <w:szCs w:val="28"/>
          <w:rtl w:val="0"/>
        </w:rPr>
        <w:t xml:space="preserve">Chile is a country highly stratified by class and geographic region. It is expected that academics working at regional universities experience very different patterns of collaboration as compared with their peers located in the Metropolitan area. </w:t>
      </w:r>
    </w:p>
    <w:p w:rsidR="00000000" w:rsidDel="00000000" w:rsidP="00000000" w:rsidRDefault="00000000" w:rsidRPr="00000000" w14:paraId="0000001D">
      <w:pPr>
        <w:numPr>
          <w:ilvl w:val="0"/>
          <w:numId w:val="4"/>
        </w:numPr>
        <w:ind w:left="720" w:hanging="360"/>
      </w:pPr>
      <w:r w:rsidDel="00000000" w:rsidR="00000000" w:rsidRPr="00000000">
        <w:rPr>
          <w:rFonts w:ascii="Garamond" w:cs="Garamond" w:eastAsia="Garamond" w:hAnsi="Garamond"/>
          <w:color w:val="222222"/>
          <w:sz w:val="28"/>
          <w:szCs w:val="28"/>
          <w:rtl w:val="0"/>
        </w:rPr>
        <w:t xml:space="preserve">Economics has a privileged position within the family of social science. It enjoys an epistemic authority, mainly based on their strong mathematical basis. In fact, PhD holders in economics can work in fields as diverse as public health as education. Economics has historically been a male-dominated field, and for most part, has attracted the daughters and sons of economic elites in most countries. In Chile,  PhDs in economics have a great influence in the design of public policy as well as in the creation of public opinion in mass media. </w:t>
      </w:r>
    </w:p>
    <w:p w:rsidR="00000000" w:rsidDel="00000000" w:rsidP="00000000" w:rsidRDefault="00000000" w:rsidRPr="00000000" w14:paraId="0000001E">
      <w:pPr>
        <w:shd w:fill="ffffff" w:val="clear"/>
        <w:spacing w:after="280" w:line="240" w:lineRule="auto"/>
        <w:ind w:left="720" w:firstLine="0"/>
        <w:rPr>
          <w:rFonts w:ascii="Garamond" w:cs="Garamond" w:eastAsia="Garamond" w:hAnsi="Garamond"/>
          <w:color w:val="222222"/>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 GV" w:id="1" w:date="2022-12-04T01:20:36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entiendo esto</w:t>
      </w:r>
    </w:p>
  </w:comment>
  <w:comment w:author="C GV" w:id="0" w:date="2022-12-04T01:18:41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en los papers colaborativos? Mirarás quién es corresponding author?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una tendencia a hacer más papers colaborativos. Cómo valorarás equipos de autores mixtos?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