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Read me</w:t>
      </w:r>
    </w:p>
    <w:p w:rsidR="00000000" w:rsidDel="00000000" w:rsidP="00000000" w:rsidRDefault="00000000" w:rsidRPr="00000000" w14:paraId="00000002">
      <w:pPr>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03">
      <w:pPr>
        <w:shd w:fill="ffffff" w:val="clear"/>
        <w:spacing w:after="280" w:line="240" w:lineRule="auto"/>
        <w:ind w:left="0" w:firstLine="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Data: </w:t>
      </w:r>
    </w:p>
    <w:p w:rsidR="00000000" w:rsidDel="00000000" w:rsidP="00000000" w:rsidRDefault="00000000" w:rsidRPr="00000000" w14:paraId="00000004">
      <w:pPr>
        <w:numPr>
          <w:ilvl w:val="0"/>
          <w:numId w:val="2"/>
        </w:numPr>
        <w:shd w:fill="ffffff" w:val="clear"/>
        <w:spacing w:after="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It includes the co-authorship networks of 214 economists who are working as academics in tenure track positions in  12 economics departments in Chile.</w:t>
      </w:r>
    </w:p>
    <w:p w:rsidR="00000000" w:rsidDel="00000000" w:rsidP="00000000" w:rsidRDefault="00000000" w:rsidRPr="00000000" w14:paraId="00000005">
      <w:pPr>
        <w:numPr>
          <w:ilvl w:val="0"/>
          <w:numId w:val="2"/>
        </w:numPr>
        <w:shd w:fill="ffffff" w:val="clear"/>
        <w:spacing w:after="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These 214 authors wrote 2,669 unique publications with others 2856 unique collaborators</w:t>
      </w:r>
    </w:p>
    <w:p w:rsidR="00000000" w:rsidDel="00000000" w:rsidP="00000000" w:rsidRDefault="00000000" w:rsidRPr="00000000" w14:paraId="00000006">
      <w:pPr>
        <w:numPr>
          <w:ilvl w:val="0"/>
          <w:numId w:val="2"/>
        </w:numPr>
        <w:shd w:fill="ffffff" w:val="clear"/>
        <w:spacing w:after="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The data was extracted from  Scopus during the month of May 2022. </w:t>
      </w:r>
    </w:p>
    <w:p w:rsidR="00000000" w:rsidDel="00000000" w:rsidP="00000000" w:rsidRDefault="00000000" w:rsidRPr="00000000" w14:paraId="00000007">
      <w:pPr>
        <w:shd w:fill="ffffff" w:val="clear"/>
        <w:spacing w:after="0" w:line="240" w:lineRule="auto"/>
        <w:ind w:left="0" w:firstLine="0"/>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08">
      <w:pPr>
        <w:shd w:fill="ffffff" w:val="clear"/>
        <w:spacing w:after="0" w:line="240" w:lineRule="auto"/>
        <w:ind w:left="0" w:firstLine="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6 data sets: </w:t>
      </w:r>
    </w:p>
    <w:p w:rsidR="00000000" w:rsidDel="00000000" w:rsidP="00000000" w:rsidRDefault="00000000" w:rsidRPr="00000000" w14:paraId="00000009">
      <w:pPr>
        <w:numPr>
          <w:ilvl w:val="0"/>
          <w:numId w:val="1"/>
        </w:numPr>
        <w:shd w:fill="ffffff" w:val="clear"/>
        <w:spacing w:after="0" w:afterAutospacing="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b w:val="1"/>
          <w:color w:val="222222"/>
          <w:sz w:val="28"/>
          <w:szCs w:val="28"/>
          <w:rtl w:val="0"/>
        </w:rPr>
        <w:t xml:space="preserve">Authors:</w:t>
      </w:r>
      <w:r w:rsidDel="00000000" w:rsidR="00000000" w:rsidRPr="00000000">
        <w:rPr>
          <w:rFonts w:ascii="Garamond" w:cs="Garamond" w:eastAsia="Garamond" w:hAnsi="Garamond"/>
          <w:color w:val="222222"/>
          <w:sz w:val="28"/>
          <w:szCs w:val="28"/>
          <w:rtl w:val="0"/>
        </w:rPr>
        <w:t xml:space="preserve"> 3070 cases. Unique authors, 214 are academics working in Chilean universities.  Authors´ attributes are included.</w:t>
      </w:r>
    </w:p>
    <w:p w:rsidR="00000000" w:rsidDel="00000000" w:rsidP="00000000" w:rsidRDefault="00000000" w:rsidRPr="00000000" w14:paraId="0000000A">
      <w:pPr>
        <w:numPr>
          <w:ilvl w:val="0"/>
          <w:numId w:val="1"/>
        </w:numPr>
        <w:shd w:fill="ffffff" w:val="clear"/>
        <w:spacing w:after="0" w:afterAutospacing="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b w:val="1"/>
          <w:color w:val="222222"/>
          <w:sz w:val="28"/>
          <w:szCs w:val="28"/>
          <w:rtl w:val="0"/>
        </w:rPr>
        <w:t xml:space="preserve">ScopusPublications:</w:t>
      </w:r>
      <w:r w:rsidDel="00000000" w:rsidR="00000000" w:rsidRPr="00000000">
        <w:rPr>
          <w:rFonts w:ascii="Garamond" w:cs="Garamond" w:eastAsia="Garamond" w:hAnsi="Garamond"/>
          <w:color w:val="222222"/>
          <w:sz w:val="28"/>
          <w:szCs w:val="28"/>
          <w:rtl w:val="0"/>
        </w:rPr>
        <w:t xml:space="preserve"> 2669  cases. Unique publications published from 1965 to 2022. Publications´ attributes are included.</w:t>
      </w:r>
    </w:p>
    <w:p w:rsidR="00000000" w:rsidDel="00000000" w:rsidP="00000000" w:rsidRDefault="00000000" w:rsidRPr="00000000" w14:paraId="0000000B">
      <w:pPr>
        <w:numPr>
          <w:ilvl w:val="0"/>
          <w:numId w:val="1"/>
        </w:numPr>
        <w:shd w:fill="ffffff" w:val="clear"/>
        <w:spacing w:after="0" w:afterAutospacing="0" w:line="240" w:lineRule="auto"/>
        <w:ind w:left="720" w:hanging="360"/>
        <w:rPr>
          <w:rFonts w:ascii="Garamond" w:cs="Garamond" w:eastAsia="Garamond" w:hAnsi="Garamond"/>
          <w:color w:val="222222"/>
          <w:sz w:val="28"/>
          <w:szCs w:val="28"/>
        </w:rPr>
      </w:pPr>
      <w:r w:rsidDel="00000000" w:rsidR="00000000" w:rsidRPr="00000000">
        <w:rPr>
          <w:rFonts w:ascii="Garamond" w:cs="Garamond" w:eastAsia="Garamond" w:hAnsi="Garamond"/>
          <w:b w:val="1"/>
          <w:color w:val="222222"/>
          <w:sz w:val="28"/>
          <w:szCs w:val="28"/>
          <w:rtl w:val="0"/>
        </w:rPr>
        <w:t xml:space="preserve">AuthorsJournalAreas: </w:t>
      </w:r>
      <w:r w:rsidDel="00000000" w:rsidR="00000000" w:rsidRPr="00000000">
        <w:rPr>
          <w:rFonts w:ascii="Garamond" w:cs="Garamond" w:eastAsia="Garamond" w:hAnsi="Garamond"/>
          <w:color w:val="222222"/>
          <w:sz w:val="28"/>
          <w:szCs w:val="28"/>
          <w:rtl w:val="0"/>
        </w:rPr>
        <w:t xml:space="preserve">51108 cases. Authors Ids are repeated as many times as disciplinary areas they are associated with. </w:t>
      </w:r>
    </w:p>
    <w:p w:rsidR="00000000" w:rsidDel="00000000" w:rsidP="00000000" w:rsidRDefault="00000000" w:rsidRPr="00000000" w14:paraId="0000000C">
      <w:pPr>
        <w:numPr>
          <w:ilvl w:val="0"/>
          <w:numId w:val="1"/>
        </w:numPr>
        <w:shd w:fill="ffffff" w:val="clear"/>
        <w:spacing w:after="0" w:afterAutospacing="0" w:line="240" w:lineRule="auto"/>
        <w:ind w:left="720" w:hanging="360"/>
        <w:rPr>
          <w:rFonts w:ascii="Garamond" w:cs="Garamond" w:eastAsia="Garamond" w:hAnsi="Garamond"/>
          <w:color w:val="222222"/>
          <w:sz w:val="28"/>
          <w:szCs w:val="28"/>
        </w:rPr>
      </w:pPr>
      <w:r w:rsidDel="00000000" w:rsidR="00000000" w:rsidRPr="00000000">
        <w:rPr>
          <w:rFonts w:ascii="Garamond" w:cs="Garamond" w:eastAsia="Garamond" w:hAnsi="Garamond"/>
          <w:b w:val="1"/>
          <w:color w:val="222222"/>
          <w:sz w:val="28"/>
          <w:szCs w:val="28"/>
          <w:rtl w:val="0"/>
        </w:rPr>
        <w:t xml:space="preserve">AuthorAffiliationHistory: </w:t>
      </w:r>
      <w:r w:rsidDel="00000000" w:rsidR="00000000" w:rsidRPr="00000000">
        <w:rPr>
          <w:rFonts w:ascii="Garamond" w:cs="Garamond" w:eastAsia="Garamond" w:hAnsi="Garamond"/>
          <w:color w:val="222222"/>
          <w:sz w:val="28"/>
          <w:szCs w:val="28"/>
          <w:rtl w:val="0"/>
        </w:rPr>
        <w:t xml:space="preserve">29918 cases.</w:t>
      </w:r>
      <w:r w:rsidDel="00000000" w:rsidR="00000000" w:rsidRPr="00000000">
        <w:rPr>
          <w:rFonts w:ascii="Garamond" w:cs="Garamond" w:eastAsia="Garamond" w:hAnsi="Garamond"/>
          <w:b w:val="1"/>
          <w:color w:val="222222"/>
          <w:sz w:val="28"/>
          <w:szCs w:val="28"/>
          <w:rtl w:val="0"/>
        </w:rPr>
        <w:t xml:space="preserve"> </w:t>
      </w:r>
      <w:r w:rsidDel="00000000" w:rsidR="00000000" w:rsidRPr="00000000">
        <w:rPr>
          <w:rFonts w:ascii="Garamond" w:cs="Garamond" w:eastAsia="Garamond" w:hAnsi="Garamond"/>
          <w:color w:val="222222"/>
          <w:sz w:val="28"/>
          <w:szCs w:val="28"/>
          <w:rtl w:val="0"/>
        </w:rPr>
        <w:t xml:space="preserve">18532 unique different institutions appear to be affiliated with 2406 authors (out of 3070).  Authors Id are repeated as many  times as the different institutional affiliations they have reported throughout the time they have been publishing.  Missing affiliation for 664 authors, 21 are working Chilean economists.</w:t>
      </w:r>
    </w:p>
    <w:p w:rsidR="00000000" w:rsidDel="00000000" w:rsidP="00000000" w:rsidRDefault="00000000" w:rsidRPr="00000000" w14:paraId="0000000D">
      <w:pPr>
        <w:numPr>
          <w:ilvl w:val="0"/>
          <w:numId w:val="1"/>
        </w:numPr>
        <w:shd w:fill="ffffff" w:val="clear"/>
        <w:spacing w:after="0" w:afterAutospacing="0" w:line="240" w:lineRule="auto"/>
        <w:ind w:left="720" w:hanging="36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InstitutionsAttributes: </w:t>
      </w:r>
      <w:r w:rsidDel="00000000" w:rsidR="00000000" w:rsidRPr="00000000">
        <w:rPr>
          <w:rFonts w:ascii="Garamond" w:cs="Garamond" w:eastAsia="Garamond" w:hAnsi="Garamond"/>
          <w:color w:val="222222"/>
          <w:sz w:val="28"/>
          <w:szCs w:val="28"/>
          <w:rtl w:val="0"/>
        </w:rPr>
        <w:t xml:space="preserve">18532 cases. Attributes of institutions included.</w:t>
      </w:r>
    </w:p>
    <w:p w:rsidR="00000000" w:rsidDel="00000000" w:rsidP="00000000" w:rsidRDefault="00000000" w:rsidRPr="00000000" w14:paraId="0000000E">
      <w:pPr>
        <w:numPr>
          <w:ilvl w:val="0"/>
          <w:numId w:val="1"/>
        </w:numPr>
        <w:shd w:fill="ffffff" w:val="clear"/>
        <w:spacing w:after="280" w:line="240" w:lineRule="auto"/>
        <w:ind w:left="720" w:hanging="36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Pub_link_Authors: </w:t>
      </w:r>
      <w:r w:rsidDel="00000000" w:rsidR="00000000" w:rsidRPr="00000000">
        <w:rPr>
          <w:rFonts w:ascii="Garamond" w:cs="Garamond" w:eastAsia="Garamond" w:hAnsi="Garamond"/>
          <w:color w:val="222222"/>
          <w:sz w:val="28"/>
          <w:szCs w:val="28"/>
          <w:rtl w:val="0"/>
        </w:rPr>
        <w:t xml:space="preserve">7804 rows, 3070 authors linked to 2669 publications. Id publication is repeated as many times as the number of authors. </w:t>
      </w:r>
    </w:p>
    <w:p w:rsidR="00000000" w:rsidDel="00000000" w:rsidP="00000000" w:rsidRDefault="00000000" w:rsidRPr="00000000" w14:paraId="0000000F">
      <w:pPr>
        <w:shd w:fill="ffffff" w:val="clear"/>
        <w:spacing w:after="280" w:line="240" w:lineRule="auto"/>
        <w:ind w:left="0" w:firstLine="0"/>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10">
      <w:pPr>
        <w:shd w:fill="ffffff" w:val="clear"/>
        <w:spacing w:after="280" w:line="240" w:lineRule="auto"/>
        <w:ind w:left="0" w:firstLine="0"/>
        <w:rPr>
          <w:rFonts w:ascii="Garamond" w:cs="Garamond" w:eastAsia="Garamond" w:hAnsi="Garamond"/>
          <w:b w:val="1"/>
          <w:color w:val="222222"/>
          <w:sz w:val="28"/>
          <w:szCs w:val="28"/>
        </w:rPr>
      </w:pPr>
      <w:r w:rsidDel="00000000" w:rsidR="00000000" w:rsidRPr="00000000">
        <w:rPr>
          <w:rtl w:val="0"/>
        </w:rPr>
      </w:r>
    </w:p>
    <w:p w:rsidR="00000000" w:rsidDel="00000000" w:rsidP="00000000" w:rsidRDefault="00000000" w:rsidRPr="00000000" w14:paraId="00000011">
      <w:pPr>
        <w:shd w:fill="ffffff" w:val="clear"/>
        <w:spacing w:after="280" w:line="240" w:lineRule="auto"/>
        <w:ind w:left="0" w:firstLine="0"/>
        <w:rPr>
          <w:rFonts w:ascii="Garamond" w:cs="Garamond" w:eastAsia="Garamond" w:hAnsi="Garamond"/>
          <w:b w:val="1"/>
          <w:color w:val="222222"/>
          <w:sz w:val="28"/>
          <w:szCs w:val="28"/>
        </w:rPr>
      </w:pPr>
      <w:r w:rsidDel="00000000" w:rsidR="00000000" w:rsidRPr="00000000">
        <w:rPr>
          <w:rtl w:val="0"/>
        </w:rPr>
      </w:r>
    </w:p>
    <w:p w:rsidR="00000000" w:rsidDel="00000000" w:rsidP="00000000" w:rsidRDefault="00000000" w:rsidRPr="00000000" w14:paraId="00000012">
      <w:pPr>
        <w:shd w:fill="ffffff" w:val="clear"/>
        <w:spacing w:after="280" w:line="240" w:lineRule="auto"/>
        <w:ind w:left="720" w:firstLine="0"/>
        <w:rPr>
          <w:rFonts w:ascii="Garamond" w:cs="Garamond" w:eastAsia="Garamond" w:hAnsi="Garamond"/>
          <w:color w:val="222222"/>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