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00000"/>
          <w:sz w:val="26"/>
          <w:szCs w:val="26"/>
        </w:rPr>
        <w:t xml:space="preserve">ESCOLA DE NEGÓCIOS, TECNOLOGIA E INOVAÇÃO DO CESUPA</w:t>
      </w:r>
    </w:p>
    <w:p>
      <w:pPr>
        <w:spacing w:after="80" w:before="80"/>
        <w:jc w:val="center"/>
      </w:pPr>
      <w:r>
        <w:rPr>
          <w:rFonts w:ascii="Arial" w:cs="Arial" w:eastAsia="Arial" w:hAnsi="Arial"/>
          <w:color w:val="000000"/>
          <w:sz w:val="22"/>
          <w:szCs w:val="22"/>
        </w:rPr>
        <w:t xml:space="preserve">Inteligência Artificial e Computacional (0700M8)</w:t>
      </w:r>
    </w:p>
    <w:p>
      <w:pPr>
        <w:spacing w:after="80" w:before="80"/>
        <w:jc w:val="center"/>
      </w:pPr>
      <w:r>
        <w:rPr>
          <w:rFonts w:ascii="Arial" w:cs="Arial" w:eastAsia="Arial" w:hAnsi="Arial"/>
          <w:color w:val="000000"/>
          <w:sz w:val="22"/>
          <w:szCs w:val="22"/>
        </w:rPr>
        <w:t xml:space="preserve">Prof. Daniel Leal Souza — Semestre 01/2026</w:t>
      </w:r>
    </w:p>
    <w:p>
      <w:pPr>
        <w:spacing w:after="60" w:before="60"/>
      </w:pPr>
      <w:r>
        <w:rPr>
          <w:sz w:val="22"/>
          <w:szCs w:val="22"/>
        </w:rPr>
        <w:t xml:space="preserve"/>
      </w:r>
    </w:p>
    <w:p>
      <w:pPr>
        <w:spacing w:after="240" w:before="240"/>
        <w:jc w:val="center"/>
      </w:pPr>
      <w:r>
        <w:rPr>
          <w:rFonts w:ascii="Arial" w:cs="Arial" w:eastAsia="Arial" w:hAnsi="Arial"/>
          <w:b/>
          <w:bCs/>
          <w:color w:val="000000"/>
          <w:sz w:val="36"/>
          <w:szCs w:val="36"/>
        </w:rPr>
        <w:t xml:space="preserve">RELATÓRIO — AV2 PARTE 1</w:t>
      </w:r>
    </w:p>
    <w:p>
      <w:pPr>
        <w:spacing w:after="80" w:before="80"/>
        <w:jc w:val="center"/>
      </w:pPr>
      <w:r>
        <w:rPr>
          <w:rFonts w:ascii="Arial" w:cs="Arial" w:eastAsia="Arial" w:hAnsi="Arial"/>
          <w:b/>
          <w:bCs/>
          <w:color w:val="000000"/>
          <w:sz w:val="28"/>
          <w:szCs w:val="28"/>
        </w:rPr>
        <w:t xml:space="preserve">Sistema de Controle Fuzzy para Avaliação de Risco de Crédito</w:t>
      </w:r>
    </w:p>
    <w:p>
      <w:pPr>
        <w:spacing w:after="80" w:before="80"/>
        <w:jc w:val="center"/>
      </w:pPr>
      <w:r>
        <w:rPr>
          <w:rFonts w:ascii="Arial" w:cs="Arial" w:eastAsia="Arial" w:hAnsi="Arial"/>
          <w:color w:val="000000"/>
          <w:sz w:val="22"/>
          <w:szCs w:val="22"/>
        </w:rPr>
        <w:t xml:space="preserve">Opção B — Aplicação/Produto de Mercado</w:t>
      </w:r>
    </w:p>
    <w:p>
      <w:pPr>
        <w:spacing w:after="60" w:before="60"/>
      </w:pPr>
      <w:r>
        <w:rPr>
          <w:sz w:val="22"/>
          <w:szCs w:val="22"/>
        </w:rPr>
        <w:t xml:space="preserve"/>
      </w:r>
    </w:p>
    <w:p>
      <w:pPr>
        <w:spacing w:after="60" w:before="120"/>
        <w:jc w:val="center"/>
      </w:pPr>
      <w:r>
        <w:rPr>
          <w:rFonts w:ascii="Arial" w:cs="Arial" w:eastAsia="Arial" w:hAnsi="Arial"/>
          <w:b/>
          <w:bCs/>
          <w:sz w:val="22"/>
          <w:szCs w:val="22"/>
        </w:rPr>
        <w:t xml:space="preserve">Integrantes:</w:t>
      </w:r>
    </w:p>
    <w:p>
      <w:pPr>
        <w:spacing w:after="40" w:before="40"/>
        <w:jc w:val="center"/>
      </w:pPr>
      <w:r>
        <w:rPr>
          <w:rFonts w:ascii="Arial" w:cs="Arial" w:eastAsia="Arial" w:hAnsi="Arial"/>
          <w:sz w:val="22"/>
          <w:szCs w:val="22"/>
        </w:rPr>
        <w:t xml:space="preserve">Rodrigo Marques Matos da Silva</w:t>
      </w:r>
    </w:p>
    <w:p>
      <w:pPr>
        <w:spacing w:after="40" w:before="40"/>
        <w:jc w:val="center"/>
      </w:pPr>
      <w:r>
        <w:rPr>
          <w:rFonts w:ascii="Arial" w:cs="Arial" w:eastAsia="Arial" w:hAnsi="Arial"/>
          <w:sz w:val="22"/>
          <w:szCs w:val="22"/>
        </w:rPr>
        <w:t xml:space="preserve">João Pedro Silva da Silva</w:t>
      </w:r>
    </w:p>
    <w:p>
      <w:pPr>
        <w:spacing w:after="80" w:before="40"/>
        <w:jc w:val="center"/>
      </w:pPr>
      <w:r>
        <w:rPr>
          <w:rFonts w:ascii="Arial" w:cs="Arial" w:eastAsia="Arial" w:hAnsi="Arial"/>
          <w:sz w:val="22"/>
          <w:szCs w:val="22"/>
        </w:rPr>
        <w:t xml:space="preserve">Noam Geraldo Ismael Coelho</w:t>
      </w:r>
    </w:p>
    <w:p>
      <w:pPr>
        <w:spacing w:after="80" w:before="80"/>
        <w:jc w:val="center"/>
      </w:pPr>
      <w:r>
        <w:rPr>
          <w:rFonts w:ascii="Arial" w:cs="Arial" w:eastAsia="Arial" w:hAnsi="Arial"/>
          <w:color w:val="000000"/>
          <w:sz w:val="20"/>
          <w:szCs w:val="20"/>
        </w:rPr>
        <w:t xml:space="preserve">Turma: CC5MA / CC5NA   |   Prazo: CC5MA 09/06/2026 · CC5NA 11/06/2026   |   Valor: 2,0 pts</w:t>
      </w:r>
    </w:p>
    <w:p>
      <w:r>
        <w:br w:type="page"/>
      </w:r>
    </w:p>
    <w:p>
      <w:pPr>
        <w:pStyle w:val="Heading1"/>
        <w:spacing w:after="160" w:before="320"/>
      </w:pPr>
      <w:r>
        <w:rPr>
          <w:rFonts w:ascii="Arial" w:cs="Arial" w:eastAsia="Arial" w:hAnsi="Arial"/>
          <w:b/>
          <w:bCs/>
          <w:color w:val="000000"/>
          <w:sz w:val="28"/>
          <w:szCs w:val="28"/>
        </w:rPr>
        <w:t xml:space="preserve">1. Identificação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636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Detalhe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Avaliação de Risco de Crédito</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Tipo de sistema</w:t>
            </w:r>
          </w:p>
        </w:tc>
        <w:tc>
          <w:tcPr>
            <w:tcW w:type="dxa" w:w="6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Fuzzy Mamdani (MISO — Multiple Input, Single Output)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Linguagem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3.13</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Principal biblioteca</w:t>
            </w:r>
          </w:p>
        </w:tc>
        <w:tc>
          <w:tcPr>
            <w:tcW w:type="dxa" w:w="6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scikit-fuzzy 0.5.0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Entregável principal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risco_credito_fuzzy_pso.ipynb</w:t>
            </w:r>
          </w:p>
        </w:tc>
      </w:tr>
    </w:tbl>
    <w:p>
      <w:pPr>
        <w:spacing w:after="60" w:before="60"/>
      </w:pPr>
      <w:r>
        <w:rPr>
          <w:sz w:val="22"/>
          <w:szCs w:val="22"/>
        </w:rPr>
        <w:t xml:space="preserve"/>
      </w:r>
    </w:p>
    <w:p>
      <w:pPr>
        <w:pStyle w:val="Heading1"/>
        <w:spacing w:after="160" w:before="320"/>
      </w:pPr>
      <w:r>
        <w:rPr>
          <w:rFonts w:ascii="Arial" w:cs="Arial" w:eastAsia="Arial" w:hAnsi="Arial"/>
          <w:b/>
          <w:bCs/>
          <w:color w:val="000000"/>
          <w:sz w:val="28"/>
          <w:szCs w:val="28"/>
        </w:rPr>
        <w:t xml:space="preserve">2. Motivação e Problema</w:t>
      </w:r>
    </w:p>
    <w:p>
      <w:pPr>
        <w:spacing w:after="80" w:before="80"/>
        <w:jc w:val="both"/>
      </w:pPr>
      <w:r>
        <w:rPr>
          <w:rFonts w:ascii="Arial" w:cs="Arial" w:eastAsia="Arial" w:hAnsi="Arial"/>
          <w:sz w:val="22"/>
          <w:szCs w:val="22"/>
        </w:rPr>
        <w:t xml:space="preserve">A concessão de crédito é uma das decisões financeiras mais recorrentes e de maior impacto econômico. Modelos matemáticos clássicos (scoring linear, regressão logística) assumem fronteiras rígidas entre classes de risco — "aprovado" ou "reprovado" — desconsiderando a imprecisão inerente à linguagem humana e às variáveis financeiras.</w:t>
      </w:r>
    </w:p>
    <w:p>
      <w:pPr>
        <w:spacing w:after="80" w:before="80"/>
        <w:jc w:val="both"/>
      </w:pPr>
      <w:r>
        <w:rPr>
          <w:rFonts w:ascii="Arial" w:cs="Arial" w:eastAsia="Arial" w:hAnsi="Arial"/>
          <w:sz w:val="22"/>
          <w:szCs w:val="22"/>
        </w:rPr>
        <w:t xml:space="preserve">A lógica fuzzy (Zadeh, 1965) oferece um framework natural para esse tipo de problema: permite expressar regras do tipo "se a renda é alta e o comprometimento é baixo, então o risco é muito baixo", sem exigir limiares exatos. O resultado é um sistema interpretável, auditável e alinhado ao raciocínio de especialistas de crédito.</w:t>
      </w:r>
    </w:p>
    <w:p>
      <w:pPr>
        <w:pStyle w:val="Heading2"/>
        <w:spacing w:after="120" w:before="240"/>
      </w:pPr>
      <w:r>
        <w:rPr>
          <w:rFonts w:ascii="Arial" w:cs="Arial" w:eastAsia="Arial" w:hAnsi="Arial"/>
          <w:b/>
          <w:bCs/>
          <w:color w:val="000000"/>
          <w:sz w:val="24"/>
          <w:szCs w:val="24"/>
        </w:rPr>
        <w:t xml:space="preserve">2.1 Objetivo</w:t>
      </w:r>
    </w:p>
    <w:p>
      <w:pPr>
        <w:spacing w:after="80" w:before="80"/>
        <w:jc w:val="left"/>
      </w:pPr>
      <w:r>
        <w:rPr>
          <w:rFonts w:ascii="Arial" w:cs="Arial" w:eastAsia="Arial" w:hAnsi="Arial"/>
          <w:sz w:val="22"/>
          <w:szCs w:val="22"/>
        </w:rPr>
        <w:t xml:space="preserve">Construir um sistema de inferência fuzzy Mamdani capaz de classificar o risco de crédito (0–100) de um solicitante de empréstimo a partir de quatro variáveis de entrada:</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Variável</w:t>
            </w:r>
          </w:p>
        </w:tc>
        <w:tc>
          <w:tcPr>
            <w:tcW w:type="dxa" w:w="40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c>
          <w:tcPr>
            <w:tcW w:type="dxa" w:w="316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Universo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Renda mensal bruta (R$)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20 000]</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comprometimento</w:t>
            </w:r>
          </w:p>
        </w:tc>
        <w:tc>
          <w:tcPr>
            <w:tcW w:type="dxa" w:w="4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 da renda já comprometida com dívidas</w:t>
            </w:r>
          </w:p>
        </w:tc>
        <w:tc>
          <w:tcPr>
            <w:tcW w:type="dxa" w:w="3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[0, 100]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Pontuação de crédito (estilo Serasa)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1 000]</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tempo_emprego</w:t>
            </w:r>
          </w:p>
        </w:tc>
        <w:tc>
          <w:tcPr>
            <w:tcW w:type="dxa" w:w="4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Tempo no emprego atual (anos)</w:t>
            </w:r>
          </w:p>
        </w:tc>
        <w:tc>
          <w:tcPr>
            <w:tcW w:type="dxa" w:w="3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[0, 30]</w:t>
            </w:r>
          </w:p>
        </w:tc>
      </w:tr>
    </w:tbl>
    <w:p>
      <w:pPr>
        <w:spacing w:after="60" w:before="60"/>
      </w:pPr>
      <w:r>
        <w:rPr>
          <w:sz w:val="22"/>
          <w:szCs w:val="22"/>
        </w:rPr>
        <w:t xml:space="preserve"/>
      </w:r>
    </w:p>
    <w:p>
      <w:pPr>
        <w:spacing w:after="80" w:before="80"/>
        <w:jc w:val="left"/>
      </w:pPr>
      <w:r>
        <w:rPr>
          <w:rFonts w:ascii="Arial" w:cs="Arial" w:eastAsia="Arial" w:hAnsi="Arial"/>
          <w:sz w:val="22"/>
          <w:szCs w:val="22"/>
        </w:rPr>
        <w:t xml:space="preserve">Saída: risco — índice de risco de crédito no universo [0, 100], onde valores próximos de 0 indicam risco muito baixo e próximos de 100 indicam risco muito alto.</w:t>
      </w:r>
    </w:p>
    <w:p>
      <w:pPr>
        <w:pStyle w:val="Heading1"/>
        <w:spacing w:after="160" w:before="320"/>
      </w:pPr>
      <w:r>
        <w:rPr>
          <w:rFonts w:ascii="Arial" w:cs="Arial" w:eastAsia="Arial" w:hAnsi="Arial"/>
          <w:b/>
          <w:bCs/>
          <w:color w:val="000000"/>
          <w:sz w:val="28"/>
          <w:szCs w:val="28"/>
        </w:rPr>
        <w:t xml:space="preserve">3. Projeto do Sistema Fuzzy</w:t>
      </w:r>
    </w:p>
    <w:p>
      <w:pPr>
        <w:pStyle w:val="Heading2"/>
        <w:spacing w:after="120" w:before="240"/>
      </w:pPr>
      <w:r>
        <w:rPr>
          <w:rFonts w:ascii="Arial" w:cs="Arial" w:eastAsia="Arial" w:hAnsi="Arial"/>
          <w:b/>
          <w:bCs/>
          <w:color w:val="000000"/>
          <w:sz w:val="24"/>
          <w:szCs w:val="24"/>
        </w:rPr>
        <w:t xml:space="preserve">3.1 Funções de Pertinência</w:t>
      </w:r>
    </w:p>
    <w:p>
      <w:pPr>
        <w:spacing w:after="80" w:before="80"/>
        <w:jc w:val="left"/>
      </w:pPr>
      <w:r>
        <w:rPr>
          <w:rFonts w:ascii="Arial" w:cs="Arial" w:eastAsia="Arial" w:hAnsi="Arial"/>
          <w:sz w:val="22"/>
          <w:szCs w:val="22"/>
        </w:rPr>
        <w:t xml:space="preserve">Todas as funções de pertinência são triangulares (trimf), por serem simples, interpretáveis e suficientes para o domínio. Os parâmetros [a, b, c] definem os pontos de suporte da função: a (início), b (pico = pertinência 1,0) e c (fim).</w:t>
      </w:r>
    </w:p>
    <w:p>
      <w:pPr>
        <w:spacing w:after="100" w:before="200"/>
      </w:pPr>
      <w:r>
        <w:rPr>
          <w:rFonts w:ascii="Arial" w:cs="Arial" w:eastAsia="Arial" w:hAnsi="Arial"/>
          <w:b/>
          <w:bCs/>
          <w:color w:val="000000"/>
          <w:sz w:val="22"/>
          <w:szCs w:val="22"/>
        </w:rPr>
        <w:t xml:space="preserve">Variável renda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Termo</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Muito Baixa</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4 000</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Baixa</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1 000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5 000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9 000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Média</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5 000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10 000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15 000</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Alta</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10 000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15 000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19 000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Muito Alta</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15 000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20 000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20 000</w:t>
            </w:r>
          </w:p>
        </w:tc>
      </w:tr>
    </w:tbl>
    <w:p>
      <w:pPr>
        <w:spacing w:after="60" w:before="60"/>
      </w:pPr>
      <w:r>
        <w:rPr>
          <w:sz w:val="22"/>
          <w:szCs w:val="22"/>
        </w:rPr>
        <w:t xml:space="preserve"/>
      </w:r>
    </w:p>
    <w:p>
      <w:pPr>
        <w:spacing w:after="100" w:before="200"/>
      </w:pPr>
      <w:r>
        <w:rPr>
          <w:rFonts w:ascii="Arial" w:cs="Arial" w:eastAsia="Arial" w:hAnsi="Arial"/>
          <w:b/>
          <w:bCs/>
          <w:color w:val="000000"/>
          <w:sz w:val="22"/>
          <w:szCs w:val="22"/>
        </w:rPr>
        <w:t xml:space="preserve">Variável comprometimento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Termo</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Baixo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Moderado</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30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50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Muito Alto</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65</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100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100</w:t>
            </w:r>
          </w:p>
        </w:tc>
      </w:tr>
    </w:tbl>
    <w:p>
      <w:pPr>
        <w:spacing w:after="60" w:before="60"/>
      </w:pPr>
      <w:r>
        <w:rPr>
          <w:sz w:val="22"/>
          <w:szCs w:val="22"/>
        </w:rPr>
        <w:t xml:space="preserve"/>
      </w:r>
    </w:p>
    <w:p>
      <w:pPr>
        <w:spacing w:after="100" w:before="200"/>
      </w:pPr>
      <w:r>
        <w:rPr>
          <w:rFonts w:ascii="Arial" w:cs="Arial" w:eastAsia="Arial" w:hAnsi="Arial"/>
          <w:b/>
          <w:bCs/>
          <w:color w:val="000000"/>
          <w:sz w:val="22"/>
          <w:szCs w:val="22"/>
        </w:rPr>
        <w:t xml:space="preserve">Variável score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Termo</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Muito Ruim</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Ruim</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100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250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Regular</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700</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Bom</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550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700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850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Muito Bom</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750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1 000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1 000</w:t>
            </w:r>
          </w:p>
        </w:tc>
      </w:tr>
    </w:tbl>
    <w:p>
      <w:pPr>
        <w:spacing w:after="60" w:before="60"/>
      </w:pPr>
      <w:r>
        <w:rPr>
          <w:sz w:val="22"/>
          <w:szCs w:val="22"/>
        </w:rPr>
        <w:t xml:space="preserve"/>
      </w:r>
    </w:p>
    <w:p>
      <w:pPr>
        <w:spacing w:after="100" w:before="200"/>
      </w:pPr>
      <w:r>
        <w:rPr>
          <w:rFonts w:ascii="Arial" w:cs="Arial" w:eastAsia="Arial" w:hAnsi="Arial"/>
          <w:b/>
          <w:bCs/>
          <w:color w:val="000000"/>
          <w:sz w:val="22"/>
          <w:szCs w:val="22"/>
        </w:rPr>
        <w:t xml:space="preserve">Variável tempo_emprego (anos)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Termo</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Curto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Moderado</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7</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23</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Muito Longo</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18</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30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30</w:t>
            </w:r>
          </w:p>
        </w:tc>
      </w:tr>
    </w:tbl>
    <w:p>
      <w:pPr>
        <w:spacing w:after="60" w:before="60"/>
      </w:pPr>
      <w:r>
        <w:rPr>
          <w:sz w:val="22"/>
          <w:szCs w:val="22"/>
        </w:rPr>
        <w:t xml:space="preserve"/>
      </w:r>
    </w:p>
    <w:p>
      <w:pPr>
        <w:spacing w:after="100" w:before="200"/>
      </w:pPr>
      <w:r>
        <w:rPr>
          <w:rFonts w:ascii="Arial" w:cs="Arial" w:eastAsia="Arial" w:hAnsi="Arial"/>
          <w:b/>
          <w:bCs/>
          <w:color w:val="000000"/>
          <w:sz w:val="22"/>
          <w:szCs w:val="22"/>
        </w:rPr>
        <w:t xml:space="preserve">Variável risco (saída)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Termo</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w:t>
            </w:r>
          </w:p>
        </w:tc>
        <w:tc>
          <w:tcPr>
            <w:tcW w:type="dxa" w:w="212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Muito Baixo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Baixo</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25</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Médio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r>
      <w:tr>
        <w:tc>
          <w:tcPr>
            <w:tcW w:type="dxa" w:w="3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Alto</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60</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75</w:t>
            </w:r>
          </w:p>
        </w:tc>
        <w:tc>
          <w:tcPr>
            <w:tcW w:type="dxa" w:w="212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90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Muito Alto</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r>
    </w:tbl>
    <w:p>
      <w:pPr>
        <w:spacing w:after="60" w:before="60"/>
      </w:pPr>
      <w:r>
        <w:rPr>
          <w:sz w:val="22"/>
          <w:szCs w:val="22"/>
        </w:rPr>
        <w:t xml:space="preserve"/>
      </w:r>
    </w:p>
    <w:p>
      <w:pPr>
        <w:pStyle w:val="Heading2"/>
        <w:spacing w:after="120" w:before="240"/>
      </w:pPr>
      <w:r>
        <w:rPr>
          <w:rFonts w:ascii="Arial" w:cs="Arial" w:eastAsia="Arial" w:hAnsi="Arial"/>
          <w:b/>
          <w:bCs/>
          <w:color w:val="000000"/>
          <w:sz w:val="24"/>
          <w:szCs w:val="24"/>
        </w:rPr>
        <w:t xml:space="preserve">3.2 Base de Regras</w:t>
      </w:r>
    </w:p>
    <w:p>
      <w:pPr>
        <w:spacing w:after="80" w:before="80"/>
        <w:jc w:val="left"/>
      </w:pPr>
      <w:r>
        <w:rPr>
          <w:rFonts w:ascii="Arial" w:cs="Arial" w:eastAsia="Arial" w:hAnsi="Arial"/>
          <w:sz w:val="22"/>
          <w:szCs w:val="22"/>
        </w:rPr>
        <w:t xml:space="preserve">O sistema contém 18 regras derivadas de conhecimento especializado em análise de crédito. As regras principais exploram a interação entre score e comprometimento (7 regras), com regras adicionais para casos críticos, extremos e situações com fatores mitigadores.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800"/>
        <w:gridCol w:w="3200"/>
      </w:tblGrid>
      <w:tr>
        <w:trPr>
          <w:tblHeader/>
        </w:trPr>
        <w:tc>
          <w:tcPr>
            <w:tcW w:type="dxa" w:w="36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8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w:t>
            </w:r>
          </w:p>
        </w:tc>
        <w:tc>
          <w:tcPr>
            <w:tcW w:type="dxa" w:w="32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ENTÃO risco é…</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Muito Bom E comp Baixo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Muito Baixo</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w:t>
            </w:r>
          </w:p>
        </w:tc>
        <w:tc>
          <w:tcPr>
            <w:tcW w:type="dxa" w:w="5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score Muito Bom E comp Moderado</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Baixo</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Muito Bom E comp Alto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Médio</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w:t>
            </w:r>
          </w:p>
        </w:tc>
        <w:tc>
          <w:tcPr>
            <w:tcW w:type="dxa" w:w="5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score Bom E comp Baixo</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Muito Baixo</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Bom E comp Moderado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Baixo</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w:t>
            </w:r>
          </w:p>
        </w:tc>
        <w:tc>
          <w:tcPr>
            <w:tcW w:type="dxa" w:w="5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score Bom E comp Alto</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Médio</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Regular E comp Baixo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Baixo</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8</w:t>
            </w:r>
          </w:p>
        </w:tc>
        <w:tc>
          <w:tcPr>
            <w:tcW w:type="dxa" w:w="5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score Regular E comp Moderado</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Médio</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Regular E comp Alto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Alto</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10</w:t>
            </w:r>
          </w:p>
        </w:tc>
        <w:tc>
          <w:tcPr>
            <w:tcW w:type="dxa" w:w="5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score Ruim E comp Baixo</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Médio</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Ruim E comp Moderado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Alto</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12</w:t>
            </w:r>
          </w:p>
        </w:tc>
        <w:tc>
          <w:tcPr>
            <w:tcW w:type="dxa" w:w="5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score Ruim E comp Alto</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Muito Alto</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Muito Ruim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Muito Alto</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14</w:t>
            </w:r>
          </w:p>
        </w:tc>
        <w:tc>
          <w:tcPr>
            <w:tcW w:type="dxa" w:w="5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renda Muito Alta E score Bom E comp Baixo</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Muito Baixo</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renda Muito Baixa E comp Muito Alto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Muito Alto</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16</w:t>
            </w:r>
          </w:p>
        </w:tc>
        <w:tc>
          <w:tcPr>
            <w:tcW w:type="dxa" w:w="5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score Regular E tempo Muito Longo E comp Baixo</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Baixo</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score Bom E tempo Muito Longo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Muito Baixo</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18</w:t>
            </w:r>
          </w:p>
        </w:tc>
        <w:tc>
          <w:tcPr>
            <w:tcW w:type="dxa" w:w="5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score Regular E tempo Curto E renda Baixa</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Alto</w:t>
            </w:r>
          </w:p>
        </w:tc>
      </w:tr>
    </w:tbl>
    <w:p>
      <w:pPr>
        <w:spacing w:after="60" w:before="60"/>
      </w:pPr>
      <w:r>
        <w:rPr>
          <w:sz w:val="22"/>
          <w:szCs w:val="22"/>
        </w:rPr>
        <w:t xml:space="preserve"/>
      </w:r>
    </w:p>
    <w:p>
      <w:pPr>
        <w:spacing w:after="80" w:before="80"/>
      </w:pPr>
      <w:r>
        <w:rPr>
          <w:rFonts w:ascii="Arial" w:cs="Arial" w:eastAsia="Arial" w:hAnsi="Arial"/>
          <w:b/>
          <w:bCs/>
          <w:sz w:val="22"/>
          <w:szCs w:val="22"/>
        </w:rPr>
        <w:t xml:space="preserve">Observações sobre o design:</w:t>
      </w:r>
    </w:p>
    <w:p>
      <w:pPr>
        <w:pStyle w:val="ListParagraph"/>
        <w:numPr>
          <w:ilvl w:val="0"/>
          <w:numId w:val="2"/>
        </w:numPr>
        <w:spacing w:after="60" w:before="60"/>
      </w:pPr>
      <w:r>
        <w:rPr>
          <w:rFonts w:ascii="Arial" w:cs="Arial" w:eastAsia="Arial" w:hAnsi="Arial"/>
          <w:sz w:val="22"/>
          <w:szCs w:val="22"/>
        </w:rPr>
        <w:t xml:space="preserve">As regras 1–13 formam a estrutura primária baseada em score × comprometimento, cobrindo o espaço mais relevante de decisão.</w:t>
      </w:r>
    </w:p>
    <w:p>
      <w:pPr>
        <w:pStyle w:val="ListParagraph"/>
        <w:numPr>
          <w:ilvl w:val="0"/>
          <w:numId w:val="2"/>
        </w:numPr>
        <w:spacing w:after="60" w:before="60"/>
      </w:pPr>
      <w:r>
        <w:rPr>
          <w:rFonts w:ascii="Arial" w:cs="Arial" w:eastAsia="Arial" w:hAnsi="Arial"/>
          <w:sz w:val="22"/>
          <w:szCs w:val="22"/>
        </w:rPr>
        <w:t xml:space="preserve">As regras 14–15 tratam extremos de renda como fator agravante/atenuante.</w:t>
      </w:r>
    </w:p>
    <w:p>
      <w:pPr>
        <w:pStyle w:val="ListParagraph"/>
        <w:numPr>
          <w:ilvl w:val="0"/>
          <w:numId w:val="2"/>
        </w:numPr>
        <w:spacing w:after="60" w:before="60"/>
      </w:pPr>
      <w:r>
        <w:rPr>
          <w:rFonts w:ascii="Arial" w:cs="Arial" w:eastAsia="Arial" w:hAnsi="Arial"/>
          <w:sz w:val="22"/>
          <w:szCs w:val="22"/>
        </w:rPr>
        <w:t xml:space="preserve">As regras 16–18 inserem tempo_emprego como fator mitigador/agravante: histórico longo de emprego reduz o risco; histórico muito curto com renda baixa o amplifica.</w:t>
      </w:r>
    </w:p>
    <w:p>
      <w:pPr>
        <w:pStyle w:val="Heading2"/>
        <w:spacing w:after="120" w:before="240"/>
      </w:pPr>
      <w:r>
        <w:rPr>
          <w:rFonts w:ascii="Arial" w:cs="Arial" w:eastAsia="Arial" w:hAnsi="Arial"/>
          <w:b/>
          <w:bCs/>
          <w:color w:val="000000"/>
          <w:sz w:val="24"/>
          <w:szCs w:val="24"/>
        </w:rPr>
        <w:t xml:space="preserve">3.3 Método de Inferência e Defuzzificação</w:t>
      </w:r>
    </w:p>
    <w:p>
      <w:pPr>
        <w:pStyle w:val="ListParagraph"/>
        <w:numPr>
          <w:ilvl w:val="0"/>
          <w:numId w:val="2"/>
        </w:numPr>
        <w:spacing w:after="60" w:before="60"/>
      </w:pPr>
      <w:r>
        <w:rPr>
          <w:rFonts w:ascii="Arial" w:cs="Arial" w:eastAsia="Arial" w:hAnsi="Arial"/>
          <w:sz w:val="22"/>
          <w:szCs w:val="22"/>
        </w:rPr>
        <w:t xml:space="preserve">Implicação: mínimo (min) — corta o consequente no grau de ativação da regra.</w:t>
      </w:r>
    </w:p>
    <w:p>
      <w:pPr>
        <w:pStyle w:val="ListParagraph"/>
        <w:numPr>
          <w:ilvl w:val="0"/>
          <w:numId w:val="2"/>
        </w:numPr>
        <w:spacing w:after="60" w:before="60"/>
      </w:pPr>
      <w:r>
        <w:rPr>
          <w:rFonts w:ascii="Arial" w:cs="Arial" w:eastAsia="Arial" w:hAnsi="Arial"/>
          <w:sz w:val="22"/>
          <w:szCs w:val="22"/>
        </w:rPr>
        <w:t xml:space="preserve">Agregação: máximo (max) — une os consequentes de todas as regras ativas.</w:t>
      </w:r>
    </w:p>
    <w:p>
      <w:pPr>
        <w:pStyle w:val="ListParagraph"/>
        <w:numPr>
          <w:ilvl w:val="0"/>
          <w:numId w:val="2"/>
        </w:numPr>
        <w:spacing w:after="60" w:before="60"/>
      </w:pPr>
      <w:r>
        <w:rPr>
          <w:rFonts w:ascii="Arial" w:cs="Arial" w:eastAsia="Arial" w:hAnsi="Arial"/>
          <w:sz w:val="22"/>
          <w:szCs w:val="22"/>
        </w:rPr>
        <w:t xml:space="preserve">Defuzzificação: centroide — retorna o centro de massa da área agregada.</w:t>
      </w:r>
    </w:p>
    <w:p>
      <w:pPr>
        <w:spacing w:after="80" w:before="80"/>
        <w:jc w:val="both"/>
      </w:pPr>
      <w:r>
        <w:rPr>
          <w:rFonts w:ascii="Arial" w:cs="Arial" w:eastAsia="Arial" w:hAnsi="Arial"/>
          <w:sz w:val="22"/>
          <w:szCs w:val="22"/>
        </w:rPr>
        <w:t xml:space="preserve">O centroide é o método padrão Mamdani e proporciona saídas suaves e contínuas, desejável para um índice de risco numérico.</w:t>
      </w:r>
    </w:p>
    <w:p>
      <w:pPr>
        <w:pStyle w:val="Heading1"/>
        <w:spacing w:after="160" w:before="320"/>
      </w:pPr>
      <w:r>
        <w:rPr>
          <w:rFonts w:ascii="Arial" w:cs="Arial" w:eastAsia="Arial" w:hAnsi="Arial"/>
          <w:b/>
          <w:bCs/>
          <w:color w:val="000000"/>
          <w:sz w:val="28"/>
          <w:szCs w:val="28"/>
        </w:rPr>
        <w:t xml:space="preserve">4. Implementação</w:t>
      </w:r>
    </w:p>
    <w:p>
      <w:pPr>
        <w:pStyle w:val="Heading2"/>
        <w:spacing w:after="120" w:before="240"/>
      </w:pPr>
      <w:r>
        <w:rPr>
          <w:rFonts w:ascii="Arial" w:cs="Arial" w:eastAsia="Arial" w:hAnsi="Arial"/>
          <w:b/>
          <w:bCs/>
          <w:color w:val="000000"/>
          <w:sz w:val="24"/>
          <w:szCs w:val="24"/>
        </w:rPr>
        <w:t xml:space="preserve">4.1 Arquitetura do Código</w:t>
      </w:r>
    </w:p>
    <w:p>
      <w:pPr>
        <w:spacing w:after="80" w:before="80"/>
        <w:jc w:val="left"/>
      </w:pPr>
      <w:r>
        <w:rPr>
          <w:rFonts w:ascii="Arial" w:cs="Arial" w:eastAsia="Arial" w:hAnsi="Arial"/>
          <w:sz w:val="22"/>
          <w:szCs w:val="22"/>
        </w:rPr>
        <w:t xml:space="preserve">O sistema é implementado em um Jupyter Notebook auto-contido (risco_credito_fuzzy_pso.ipynb), gerado programaticamente por gerar_notebook.py. O notebook possui 15 seções ordenadas:</w:t>
      </w:r>
    </w:p>
    <w:p>
      <w:pPr>
        <w:pStyle w:val="ListParagraph"/>
        <w:numPr>
          <w:ilvl w:val="0"/>
          <w:numId w:val="2"/>
        </w:numPr>
        <w:spacing w:after="60" w:before="60"/>
      </w:pPr>
      <w:r>
        <w:rPr>
          <w:rFonts w:ascii="Arial" w:cs="Arial" w:eastAsia="Arial" w:hAnsi="Arial"/>
          <w:sz w:val="22"/>
          <w:szCs w:val="22"/>
        </w:rPr>
        <w:t xml:space="preserve">Capa e contexto</w:t>
      </w:r>
    </w:p>
    <w:p>
      <w:pPr>
        <w:pStyle w:val="ListParagraph"/>
        <w:numPr>
          <w:ilvl w:val="0"/>
          <w:numId w:val="2"/>
        </w:numPr>
        <w:spacing w:after="60" w:before="60"/>
      </w:pPr>
      <w:r>
        <w:rPr>
          <w:rFonts w:ascii="Arial" w:cs="Arial" w:eastAsia="Arial" w:hAnsi="Arial"/>
          <w:sz w:val="22"/>
          <w:szCs w:val="22"/>
        </w:rPr>
        <w:t xml:space="preserve">Importações centralizadas</w:t>
      </w:r>
    </w:p>
    <w:p>
      <w:pPr>
        <w:pStyle w:val="ListParagraph"/>
        <w:numPr>
          <w:ilvl w:val="0"/>
          <w:numId w:val="2"/>
        </w:numPr>
        <w:spacing w:after="60" w:before="60"/>
      </w:pPr>
      <w:r>
        <w:rPr>
          <w:rFonts w:ascii="Arial" w:cs="Arial" w:eastAsia="Arial" w:hAnsi="Arial"/>
          <w:sz w:val="22"/>
          <w:szCs w:val="22"/>
        </w:rPr>
        <w:t xml:space="preserve">Parâmetros padrão (DEFAULT_PARAMS)</w:t>
      </w:r>
    </w:p>
    <w:p>
      <w:pPr>
        <w:pStyle w:val="ListParagraph"/>
        <w:numPr>
          <w:ilvl w:val="0"/>
          <w:numId w:val="2"/>
        </w:numPr>
        <w:spacing w:after="60" w:before="60"/>
      </w:pPr>
      <w:r>
        <w:rPr>
          <w:rFonts w:ascii="Arial" w:cs="Arial" w:eastAsia="Arial" w:hAnsi="Arial"/>
          <w:sz w:val="22"/>
          <w:szCs w:val="22"/>
        </w:rPr>
        <w:t xml:space="preserve">Construção do sistema (visualização com scikit-fuzzy)</w:t>
      </w:r>
    </w:p>
    <w:p>
      <w:pPr>
        <w:pStyle w:val="ListParagraph"/>
        <w:numPr>
          <w:ilvl w:val="0"/>
          <w:numId w:val="2"/>
        </w:numPr>
        <w:spacing w:after="60" w:before="60"/>
      </w:pPr>
      <w:r>
        <w:rPr>
          <w:rFonts w:ascii="Arial" w:cs="Arial" w:eastAsia="Arial" w:hAnsi="Arial"/>
          <w:sz w:val="22"/>
          <w:szCs w:val="22"/>
        </w:rPr>
        <w:t xml:space="preserve">Visualização das MFs originais</w:t>
      </w:r>
    </w:p>
    <w:p>
      <w:pPr>
        <w:pStyle w:val="ListParagraph"/>
        <w:numPr>
          <w:ilvl w:val="0"/>
          <w:numId w:val="2"/>
        </w:numPr>
        <w:spacing w:after="60" w:before="60"/>
      </w:pPr>
      <w:r>
        <w:rPr>
          <w:rFonts w:ascii="Arial" w:cs="Arial" w:eastAsia="Arial" w:hAnsi="Arial"/>
          <w:sz w:val="22"/>
          <w:szCs w:val="22"/>
        </w:rPr>
        <w:t xml:space="preserve">Cenários de teste e avaliação</w:t>
      </w:r>
    </w:p>
    <w:p>
      <w:pPr>
        <w:pStyle w:val="ListParagraph"/>
        <w:numPr>
          <w:ilvl w:val="0"/>
          <w:numId w:val="2"/>
        </w:numPr>
        <w:spacing w:after="60" w:before="60"/>
      </w:pPr>
      <w:r>
        <w:rPr>
          <w:rFonts w:ascii="Arial" w:cs="Arial" w:eastAsia="Arial" w:hAnsi="Arial"/>
          <w:sz w:val="22"/>
          <w:szCs w:val="22"/>
        </w:rPr>
        <w:t xml:space="preserve">Superfície de controle (renda × score)</w:t>
      </w:r>
    </w:p>
    <w:p>
      <w:pPr>
        <w:pStyle w:val="ListParagraph"/>
        <w:numPr>
          <w:ilvl w:val="0"/>
          <w:numId w:val="2"/>
        </w:numPr>
        <w:spacing w:after="60" w:before="60"/>
      </w:pPr>
      <w:r>
        <w:rPr>
          <w:rFonts w:ascii="Arial" w:cs="Arial" w:eastAsia="Arial" w:hAnsi="Arial"/>
          <w:sz w:val="22"/>
          <w:szCs w:val="22"/>
        </w:rPr>
        <w:t xml:space="preserve">Função de aptidão</w:t>
      </w:r>
    </w:p>
    <w:p>
      <w:pPr>
        <w:pStyle w:val="ListParagraph"/>
        <w:numPr>
          <w:ilvl w:val="0"/>
          <w:numId w:val="2"/>
        </w:numPr>
        <w:spacing w:after="60" w:before="60"/>
      </w:pPr>
      <w:r>
        <w:rPr>
          <w:rFonts w:ascii="Arial" w:cs="Arial" w:eastAsia="Arial" w:hAnsi="Arial"/>
          <w:sz w:val="22"/>
          <w:szCs w:val="22"/>
        </w:rPr>
        <w:t xml:space="preserve">Classe PSO</w:t>
      </w:r>
    </w:p>
    <w:p>
      <w:pPr>
        <w:pStyle w:val="ListParagraph"/>
        <w:numPr>
          <w:ilvl w:val="0"/>
          <w:numId w:val="2"/>
        </w:numPr>
        <w:spacing w:after="60" w:before="60"/>
      </w:pPr>
      <w:r>
        <w:rPr>
          <w:rFonts w:ascii="Arial" w:cs="Arial" w:eastAsia="Arial" w:hAnsi="Arial"/>
          <w:sz w:val="22"/>
          <w:szCs w:val="22"/>
        </w:rPr>
        <w:t xml:space="preserve">Execução do PSO</w:t>
      </w:r>
    </w:p>
    <w:p>
      <w:pPr>
        <w:pStyle w:val="ListParagraph"/>
        <w:numPr>
          <w:ilvl w:val="0"/>
          <w:numId w:val="2"/>
        </w:numPr>
        <w:spacing w:after="60" w:before="60"/>
      </w:pPr>
      <w:r>
        <w:rPr>
          <w:rFonts w:ascii="Arial" w:cs="Arial" w:eastAsia="Arial" w:hAnsi="Arial"/>
          <w:sz w:val="22"/>
          <w:szCs w:val="22"/>
        </w:rPr>
        <w:t xml:space="preserve">Curva de convergência</w:t>
      </w:r>
    </w:p>
    <w:p>
      <w:pPr>
        <w:pStyle w:val="ListParagraph"/>
        <w:numPr>
          <w:ilvl w:val="0"/>
          <w:numId w:val="2"/>
        </w:numPr>
        <w:spacing w:after="60" w:before="60"/>
      </w:pPr>
      <w:r>
        <w:rPr>
          <w:rFonts w:ascii="Arial" w:cs="Arial" w:eastAsia="Arial" w:hAnsi="Arial"/>
          <w:sz w:val="22"/>
          <w:szCs w:val="22"/>
        </w:rPr>
        <w:t xml:space="preserve">Comparação antes/depois</w:t>
      </w:r>
    </w:p>
    <w:p>
      <w:pPr>
        <w:pStyle w:val="ListParagraph"/>
        <w:numPr>
          <w:ilvl w:val="0"/>
          <w:numId w:val="2"/>
        </w:numPr>
        <w:spacing w:after="60" w:before="60"/>
      </w:pPr>
      <w:r>
        <w:rPr>
          <w:rFonts w:ascii="Arial" w:cs="Arial" w:eastAsia="Arial" w:hAnsi="Arial"/>
          <w:sz w:val="22"/>
          <w:szCs w:val="22"/>
        </w:rPr>
        <w:t xml:space="preserve">5 execuções independentes</w:t>
      </w:r>
    </w:p>
    <w:p>
      <w:pPr>
        <w:pStyle w:val="ListParagraph"/>
        <w:numPr>
          <w:ilvl w:val="0"/>
          <w:numId w:val="2"/>
        </w:numPr>
        <w:spacing w:after="60" w:before="60"/>
      </w:pPr>
      <w:r>
        <w:rPr>
          <w:rFonts w:ascii="Arial" w:cs="Arial" w:eastAsia="Arial" w:hAnsi="Arial"/>
          <w:sz w:val="22"/>
          <w:szCs w:val="22"/>
        </w:rPr>
        <w:t xml:space="preserve">Salvar resultados</w:t>
      </w:r>
    </w:p>
    <w:p>
      <w:pPr>
        <w:pStyle w:val="ListParagraph"/>
        <w:numPr>
          <w:ilvl w:val="0"/>
          <w:numId w:val="2"/>
        </w:numPr>
        <w:spacing w:after="60" w:before="60"/>
      </w:pPr>
      <w:r>
        <w:rPr>
          <w:rFonts w:ascii="Arial" w:cs="Arial" w:eastAsia="Arial" w:hAnsi="Arial"/>
          <w:sz w:val="22"/>
          <w:szCs w:val="22"/>
        </w:rPr>
        <w:t xml:space="preserve">Análise crítica</w:t>
      </w:r>
    </w:p>
    <w:p>
      <w:pPr>
        <w:pStyle w:val="Heading2"/>
        <w:spacing w:after="120" w:before="240"/>
      </w:pPr>
      <w:r>
        <w:rPr>
          <w:rFonts w:ascii="Arial" w:cs="Arial" w:eastAsia="Arial" w:hAnsi="Arial"/>
          <w:b/>
          <w:bCs/>
          <w:color w:val="000000"/>
          <w:sz w:val="24"/>
          <w:szCs w:val="24"/>
        </w:rPr>
        <w:t xml:space="preserve">4.2 Inferência Mamdani Custom (mamdani_fast)</w:t>
      </w:r>
    </w:p>
    <w:p>
      <w:pPr>
        <w:spacing w:after="80" w:before="80"/>
        <w:jc w:val="left"/>
      </w:pPr>
      <w:r>
        <w:rPr>
          <w:rFonts w:ascii="Arial" w:cs="Arial" w:eastAsia="Arial" w:hAnsi="Arial"/>
          <w:sz w:val="22"/>
          <w:szCs w:val="22"/>
        </w:rPr>
        <w:t xml:space="preserve">Para viabilizar a otimização por PSO (milhares de avaliações do sistema), foi implementada uma função de inferência Mamdani direta em NumPy, sem overhead do framework scikit-fuzzy:</w:t>
      </w:r>
    </w:p>
    <w:p>
      <w:pPr>
        <w:spacing w:after="60" w:before="60"/>
        <w:ind w:left="720"/>
      </w:pPr>
      <w:r>
        <w:rPr>
          <w:rFonts w:ascii="Courier New" w:cs="Courier New" w:eastAsia="Courier New" w:hAnsi="Courier New"/>
          <w:color w:val="333333"/>
          <w:sz w:val="18"/>
          <w:szCs w:val="18"/>
        </w:rPr>
        <w:t xml:space="preserve">def mamdani_fast(renda_v, comp_v, score_v, tempo_v, params):</w:t>
      </w:r>
    </w:p>
    <w:p>
      <w:pPr>
        <w:spacing w:after="60" w:before="60"/>
        <w:ind w:left="720"/>
      </w:pPr>
      <w:r>
        <w:rPr>
          <w:rFonts w:ascii="Courier New" w:cs="Courier New" w:eastAsia="Courier New" w:hAnsi="Courier New"/>
          <w:color w:val="333333"/>
          <w:sz w:val="18"/>
          <w:szCs w:val="18"/>
        </w:rPr>
        <w:t xml:space="preserve">    # 1. Fuzzificação: grau de pertinência de cada entrada em cada termo</w:t>
      </w:r>
    </w:p>
    <w:p>
      <w:pPr>
        <w:spacing w:after="60" w:before="60"/>
        <w:ind w:left="720"/>
      </w:pPr>
      <w:r>
        <w:rPr>
          <w:rFonts w:ascii="Courier New" w:cs="Courier New" w:eastAsia="Courier New" w:hAnsi="Courier New"/>
          <w:color w:val="333333"/>
          <w:sz w:val="18"/>
          <w:szCs w:val="18"/>
        </w:rPr>
        <w:t xml:space="preserve">    mr = {k: trimf_val(renda_v, *params[f'renda_{k}']) for k in [...]}</w:t>
      </w:r>
    </w:p>
    <w:p>
      <w:pPr>
        <w:spacing w:after="60" w:before="60"/>
        <w:ind w:left="720"/>
      </w:pPr>
      <w:r>
        <w:rPr>
          <w:rFonts w:ascii="Courier New" w:cs="Courier New" w:eastAsia="Courier New" w:hAnsi="Courier New"/>
          <w:color w:val="333333"/>
          <w:sz w:val="18"/>
          <w:szCs w:val="18"/>
        </w:rPr>
        <w:t xml:space="preserve">    mc = {k: trimf_val(comp_v,  *params[f'comp_{k}'])  for k in [...]}</w:t>
      </w:r>
    </w:p>
    <w:p>
      <w:pPr>
        <w:spacing w:after="60" w:before="60"/>
        <w:ind w:left="720"/>
      </w:pPr>
      <w:r>
        <w:rPr>
          <w:rFonts w:ascii="Courier New" w:cs="Courier New" w:eastAsia="Courier New" w:hAnsi="Courier New"/>
          <w:color w:val="333333"/>
          <w:sz w:val="18"/>
          <w:szCs w:val="18"/>
        </w:rPr>
        <w:t xml:space="preserve">    ms = {k: trimf_val(score_v, *params[f'score_{k}']) for k in [...]}</w:t>
      </w:r>
    </w:p>
    <w:p>
      <w:pPr>
        <w:spacing w:after="60" w:before="60"/>
        <w:ind w:left="720"/>
      </w:pPr>
      <w:r>
        <w:rPr>
          <w:rFonts w:ascii="Courier New" w:cs="Courier New" w:eastAsia="Courier New" w:hAnsi="Courier New"/>
          <w:color w:val="333333"/>
          <w:sz w:val="18"/>
          <w:szCs w:val="18"/>
        </w:rPr>
        <w:t xml:space="preserve">    mt = {k: trimf_val(tempo_v, *params[f'tempo_{k}']) for k in [...]}</w:t>
      </w:r>
    </w:p>
    <w:p>
      <w:pPr>
        <w:spacing w:after="60" w:before="60"/>
        <w:ind w:left="720"/>
      </w:pPr>
      <w:r>
        <w:rPr>
          <w:rFonts w:ascii="Courier New" w:cs="Courier New" w:eastAsia="Courier New" w:hAnsi="Courier New"/>
          <w:color w:val="333333"/>
          <w:sz w:val="18"/>
          <w:szCs w:val="18"/>
        </w:rPr>
        <w:t xml:space="preserve">    # 2. Avaliação das regras (min-implicação)</w:t>
      </w:r>
    </w:p>
    <w:p>
      <w:pPr>
        <w:spacing w:after="60" w:before="60"/>
        <w:ind w:left="720"/>
      </w:pPr>
      <w:r>
        <w:rPr>
          <w:rFonts w:ascii="Courier New" w:cs="Courier New" w:eastAsia="Courier New" w:hAnsi="Courier New"/>
          <w:color w:val="333333"/>
          <w:sz w:val="18"/>
          <w:szCs w:val="18"/>
        </w:rPr>
        <w:t xml:space="preserve">    # 3. Agregação (max)</w:t>
      </w:r>
    </w:p>
    <w:p>
      <w:pPr>
        <w:spacing w:after="60" w:before="60"/>
        <w:ind w:left="720"/>
      </w:pPr>
      <w:r>
        <w:rPr>
          <w:rFonts w:ascii="Courier New" w:cs="Courier New" w:eastAsia="Courier New" w:hAnsi="Courier New"/>
          <w:color w:val="333333"/>
          <w:sz w:val="18"/>
          <w:szCs w:val="18"/>
        </w:rPr>
        <w:t xml:space="preserve">    # 4. Defuzzificação (centroide via trapézio)</w:t>
      </w:r>
    </w:p>
    <w:p>
      <w:pPr>
        <w:spacing w:after="80" w:before="80"/>
        <w:jc w:val="left"/>
      </w:pPr>
      <w:r>
        <w:rPr>
          <w:rFonts w:ascii="Arial" w:cs="Arial" w:eastAsia="Arial" w:hAnsi="Arial"/>
          <w:sz w:val="22"/>
          <w:szCs w:val="22"/>
        </w:rPr>
        <w:t xml:space="preserve">Desempenho medido: ~0,06 ms por avaliação vs. ~1–2 s com ctrl.ControlSystemSimulation.</w:t>
      </w:r>
    </w:p>
    <w:p>
      <w:pPr>
        <w:pStyle w:val="Heading2"/>
        <w:spacing w:after="120" w:before="240"/>
      </w:pPr>
      <w:r>
        <w:rPr>
          <w:rFonts w:ascii="Arial" w:cs="Arial" w:eastAsia="Arial" w:hAnsi="Arial"/>
          <w:b/>
          <w:bCs/>
          <w:color w:val="000000"/>
          <w:sz w:val="24"/>
          <w:szCs w:val="24"/>
        </w:rPr>
        <w:t xml:space="preserve">4.3 Cenários de Teste</w:t>
      </w:r>
    </w:p>
    <w:p>
      <w:pPr>
        <w:spacing w:after="80" w:before="80"/>
        <w:jc w:val="left"/>
      </w:pPr>
      <w:r>
        <w:rPr>
          <w:rFonts w:ascii="Arial" w:cs="Arial" w:eastAsia="Arial" w:hAnsi="Arial"/>
          <w:sz w:val="22"/>
          <w:szCs w:val="22"/>
        </w:rPr>
        <w:t xml:space="preserve">Foram definidos 10 cenários cobrindo extremos e casos limítrofes: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00"/>
        <w:gridCol w:w="1000"/>
        <w:gridCol w:w="1000"/>
        <w:gridCol w:w="1000"/>
        <w:gridCol w:w="1200"/>
        <w:gridCol w:w="3400"/>
      </w:tblGrid>
      <w:tr>
        <w:trPr>
          <w:tblHeader/>
        </w:trPr>
        <w:tc>
          <w:tcPr>
            <w:tcW w:type="dxa" w:w="36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4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Renda</w:t>
            </w:r>
          </w:p>
        </w:tc>
        <w:tc>
          <w:tcPr>
            <w:tcW w:type="dxa" w:w="10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w:t>
            </w:r>
          </w:p>
        </w:tc>
        <w:tc>
          <w:tcPr>
            <w:tcW w:type="dxa" w:w="10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0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Tempo</w:t>
            </w:r>
          </w:p>
        </w:tc>
        <w:tc>
          <w:tcPr>
            <w:tcW w:type="dxa" w:w="12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Esperado</w:t>
            </w:r>
          </w:p>
        </w:tc>
        <w:tc>
          <w:tcPr>
            <w:tcW w:type="dxa" w:w="34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18 000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920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Excelente: todos favoráveis</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800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85</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120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93,0</w:t>
            </w:r>
          </w:p>
        </w:tc>
        <w:tc>
          <w:tcPr>
            <w:tcW w:type="dxa" w:w="3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Péssimo: todos desfavoráveis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520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Típico: valores médios</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9 000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45</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680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35,0</w:t>
            </w:r>
          </w:p>
        </w:tc>
        <w:tc>
          <w:tcPr>
            <w:tcW w:type="dxa" w:w="3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Fronteiríço baixo-médio</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Fronteiríço médio-alto</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20 000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150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55,0</w:t>
            </w:r>
          </w:p>
        </w:tc>
        <w:tc>
          <w:tcPr>
            <w:tcW w:type="dxa" w:w="3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Conflitante: renda alta, score ruim</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1 500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720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Conflitante: renda baixa, score bom</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20 000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980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7,0</w:t>
            </w:r>
          </w:p>
        </w:tc>
        <w:tc>
          <w:tcPr>
            <w:tcW w:type="dxa" w:w="3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Crítico baixo: todos ótimos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93,0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Crítico alto: todos péssimos</w:t>
            </w:r>
          </w:p>
        </w:tc>
      </w:tr>
      <w:tr>
        <w:tc>
          <w:tcPr>
            <w:tcW w:type="dxa" w:w="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7 000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480</w:t>
            </w:r>
          </w:p>
        </w:tc>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28,0</w:t>
            </w:r>
          </w:p>
        </w:tc>
        <w:tc>
          <w:tcPr>
            <w:tcW w:type="dxa" w:w="3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Mitigado: tempo longo compensa score regular</w:t>
            </w:r>
          </w:p>
        </w:tc>
      </w:tr>
    </w:tbl>
    <w:p>
      <w:pPr>
        <w:spacing w:after="60" w:before="60"/>
      </w:pPr>
      <w:r>
        <w:rPr>
          <w:sz w:val="22"/>
          <w:szCs w:val="22"/>
        </w:rPr>
        <w:t xml:space="preserve"/>
      </w:r>
    </w:p>
    <w:p>
      <w:pPr>
        <w:spacing w:after="80" w:before="80"/>
        <w:jc w:val="left"/>
      </w:pPr>
      <w:r>
        <w:rPr>
          <w:rFonts w:ascii="Arial" w:cs="Arial" w:eastAsia="Arial" w:hAnsi="Arial"/>
          <w:color w:val="000000"/>
          <w:sz w:val="22"/>
          <w:szCs w:val="22"/>
        </w:rPr>
        <w:t xml:space="preserve">Nota sobre calibração: Os valores esperados foram ajustados para respeitar os limites físicos da defuzzificação por centroide com as MFs definidas. O centroide mínimo atingível com risco_muito_baixo = [0,0,20] é ~7,0 e o máximo com risco_muito_alto = [80,100,100] é ~93,0.</w:t>
      </w:r>
    </w:p>
    <w:p>
      <w:pPr>
        <w:pStyle w:val="Heading1"/>
        <w:spacing w:after="160" w:before="320"/>
      </w:pPr>
      <w:r>
        <w:rPr>
          <w:rFonts w:ascii="Arial" w:cs="Arial" w:eastAsia="Arial" w:hAnsi="Arial"/>
          <w:b/>
          <w:bCs/>
          <w:color w:val="000000"/>
          <w:sz w:val="28"/>
          <w:szCs w:val="28"/>
        </w:rPr>
        <w:t xml:space="preserve">5. Resultados</w:t>
      </w:r>
    </w:p>
    <w:p>
      <w:pPr>
        <w:pStyle w:val="Heading2"/>
        <w:spacing w:after="120" w:before="240"/>
      </w:pPr>
      <w:r>
        <w:rPr>
          <w:rFonts w:ascii="Arial" w:cs="Arial" w:eastAsia="Arial" w:hAnsi="Arial"/>
          <w:b/>
          <w:bCs/>
          <w:color w:val="000000"/>
          <w:sz w:val="24"/>
          <w:szCs w:val="24"/>
        </w:rPr>
        <w:t xml:space="preserve">5.1 Sistema com Parâmetros Padrão</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Cenário</w:t>
            </w:r>
          </w:p>
        </w:tc>
        <w:tc>
          <w:tcPr>
            <w:tcW w:type="dxa" w:w="18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Esperado</w:t>
            </w:r>
          </w:p>
        </w:tc>
        <w:tc>
          <w:tcPr>
            <w:tcW w:type="dxa" w:w="18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Obtido</w:t>
            </w:r>
          </w:p>
        </w:tc>
        <w:tc>
          <w:tcPr>
            <w:tcW w:type="dxa" w:w="256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 Excelente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w:t>
            </w:r>
          </w:p>
        </w:tc>
      </w:tr>
      <w:tr>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 — Péssimo</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93,0</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92,5</w:t>
            </w:r>
          </w:p>
        </w:tc>
        <w:tc>
          <w:tcPr>
            <w:tcW w:type="dxa" w:w="2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0,5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 Típico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w:t>
            </w:r>
          </w:p>
        </w:tc>
      </w:tr>
      <w:tr>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 — Fronteiríço baixo</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35,0</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44,7</w:t>
            </w:r>
          </w:p>
        </w:tc>
        <w:tc>
          <w:tcPr>
            <w:tcW w:type="dxa" w:w="2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9,7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 Fronteiríço alto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75,0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r>
      <w:tr>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 — Conflitante renda</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55,0</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68,6</w:t>
            </w:r>
          </w:p>
        </w:tc>
        <w:tc>
          <w:tcPr>
            <w:tcW w:type="dxa" w:w="2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13,6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 Conflitante 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8,1</w:t>
            </w:r>
          </w:p>
        </w:tc>
      </w:tr>
      <w:tr>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8 — Crítico baixo</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7,0</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6,9</w:t>
            </w:r>
          </w:p>
        </w:tc>
        <w:tc>
          <w:tcPr>
            <w:tcW w:type="dxa" w:w="2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0,1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 — Crítico alto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93,2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w:t>
            </w:r>
          </w:p>
        </w:tc>
      </w:tr>
      <w:tr>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10 — Mitigado</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28,0</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43,9</w:t>
            </w:r>
          </w:p>
        </w:tc>
        <w:tc>
          <w:tcPr>
            <w:tcW w:type="dxa" w:w="2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15,9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5,36</w:t>
            </w:r>
          </w:p>
        </w:tc>
      </w:tr>
    </w:tbl>
    <w:p>
      <w:pPr>
        <w:spacing w:after="60" w:before="60"/>
      </w:pPr>
      <w:r>
        <w:rPr>
          <w:sz w:val="22"/>
          <w:szCs w:val="22"/>
        </w:rPr>
        <w:t xml:space="preserve"/>
      </w:r>
    </w:p>
    <w:p>
      <w:pPr>
        <w:spacing w:after="80" w:before="80"/>
        <w:jc w:val="both"/>
      </w:pPr>
      <w:r>
        <w:rPr>
          <w:rFonts w:ascii="Arial" w:cs="Arial" w:eastAsia="Arial" w:hAnsi="Arial"/>
          <w:sz w:val="22"/>
          <w:szCs w:val="22"/>
        </w:rPr>
        <w:t xml:space="preserve">O sistema com parâmetros padrão já classifica corretamente os casos extremos (cenários 1, 2, 8, 9) com erro abaixo de 1,0. Os maiores erros ocorrem em cenários conflitantes (6, 10) onde múltiplos fatores competem.</w:t>
      </w:r>
    </w:p>
    <w:p>
      <w:pPr>
        <w:pStyle w:val="Heading2"/>
        <w:spacing w:after="120" w:before="240"/>
      </w:pPr>
      <w:r>
        <w:rPr>
          <w:rFonts w:ascii="Arial" w:cs="Arial" w:eastAsia="Arial" w:hAnsi="Arial"/>
          <w:b/>
          <w:bCs/>
          <w:color w:val="000000"/>
          <w:sz w:val="24"/>
          <w:szCs w:val="24"/>
        </w:rPr>
        <w:t xml:space="preserve">5.2 Sistema Após Otimização PSO</w:t>
      </w:r>
    </w:p>
    <w:p>
      <w:pPr>
        <w:spacing w:after="80" w:before="80"/>
        <w:jc w:val="left"/>
      </w:pPr>
      <w:r>
        <w:rPr>
          <w:rFonts w:ascii="Arial" w:cs="Arial" w:eastAsia="Arial" w:hAnsi="Arial"/>
          <w:sz w:val="22"/>
          <w:szCs w:val="22"/>
        </w:rPr>
        <w:t xml:space="preserve">Com os parâmetros otimizados pelo PSO (40 partículas, 150 iterações), os erros são drasticamente reduzidos: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3060"/>
      </w:tblGrid>
      <w:tr>
        <w:trPr>
          <w:tblHeader/>
        </w:trPr>
        <w:tc>
          <w:tcPr>
            <w:tcW w:type="dxa" w:w="24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Cenário</w:t>
            </w:r>
          </w:p>
        </w:tc>
        <w:tc>
          <w:tcPr>
            <w:tcW w:type="dxa" w:w="13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Esperado</w:t>
            </w:r>
          </w:p>
        </w:tc>
        <w:tc>
          <w:tcPr>
            <w:tcW w:type="dxa" w:w="13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Antes</w:t>
            </w:r>
          </w:p>
        </w:tc>
        <w:tc>
          <w:tcPr>
            <w:tcW w:type="dxa" w:w="130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Depois</w:t>
            </w:r>
          </w:p>
        </w:tc>
        <w:tc>
          <w:tcPr>
            <w:tcW w:type="dxa" w:w="3060"/>
            <w:tcBorders>
              <w:top w:val="single" w:color="000000" w:sz="1"/>
              <w:left w:val="single" w:color="000000" w:sz="1"/>
              <w:bottom w:val="single" w:color="000000" w:sz="1"/>
              <w:right w:val="single" w:color="000000" w:sz="1"/>
            </w:tcBorders>
            <w:shd w:fill="33333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Melhora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93,0</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92,5</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92,5</w:t>
            </w:r>
          </w:p>
        </w:tc>
        <w:tc>
          <w:tcPr>
            <w:tcW w:type="dxa" w:w="30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47,0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35,0</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44,7</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36,3</w:t>
            </w:r>
          </w:p>
        </w:tc>
        <w:tc>
          <w:tcPr>
            <w:tcW w:type="dxa" w:w="30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+8,4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70,0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55,0</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68,6</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55,0</w:t>
            </w:r>
          </w:p>
        </w:tc>
        <w:tc>
          <w:tcPr>
            <w:tcW w:type="dxa" w:w="30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+13,6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+8,1</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8</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7,0</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6,9</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6,9</w:t>
            </w:r>
          </w:p>
        </w:tc>
        <w:tc>
          <w:tcPr>
            <w:tcW w:type="dxa" w:w="30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93,0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93,2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93,0</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28,0</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43,9</w:t>
            </w:r>
          </w:p>
        </w:tc>
        <w:tc>
          <w:tcPr>
            <w:tcW w:type="dxa" w:w="13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28,0</w:t>
            </w:r>
          </w:p>
        </w:tc>
        <w:tc>
          <w:tcPr>
            <w:tcW w:type="dxa" w:w="30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sz w:val="20"/>
                <w:szCs w:val="20"/>
              </w:rPr>
              <w:t xml:space="preserve">+15,9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5,36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0,51</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−90,5%</w:t>
            </w:r>
          </w:p>
        </w:tc>
      </w:tr>
    </w:tbl>
    <w:p>
      <w:pPr>
        <w:spacing w:after="60" w:before="60"/>
      </w:pPr>
      <w:r>
        <w:rPr>
          <w:sz w:val="22"/>
          <w:szCs w:val="22"/>
        </w:rPr>
        <w:t xml:space="preserve"/>
      </w:r>
    </w:p>
    <w:p>
      <w:pPr>
        <w:pStyle w:val="Heading2"/>
        <w:spacing w:after="120" w:before="240"/>
      </w:pPr>
      <w:r>
        <w:rPr>
          <w:rFonts w:ascii="Arial" w:cs="Arial" w:eastAsia="Arial" w:hAnsi="Arial"/>
          <w:b/>
          <w:bCs/>
          <w:color w:val="000000"/>
          <w:sz w:val="24"/>
          <w:szCs w:val="24"/>
        </w:rPr>
        <w:t xml:space="preserve">5.3 Análise da Superfície de Controle</w:t>
      </w:r>
    </w:p>
    <w:p>
      <w:pPr>
        <w:spacing w:after="80" w:before="80"/>
        <w:jc w:val="left"/>
      </w:pPr>
      <w:r>
        <w:rPr>
          <w:rFonts w:ascii="Arial" w:cs="Arial" w:eastAsia="Arial" w:hAnsi="Arial"/>
          <w:sz w:val="22"/>
          <w:szCs w:val="22"/>
        </w:rPr>
        <w:t xml:space="preserve">A superfície de controle (renda × score, comprometimento=30%, tempo=10 anos) exibe:</w:t>
      </w:r>
    </w:p>
    <w:p>
      <w:pPr>
        <w:pStyle w:val="ListParagraph"/>
        <w:numPr>
          <w:ilvl w:val="0"/>
          <w:numId w:val="2"/>
        </w:numPr>
        <w:spacing w:after="60" w:before="60"/>
      </w:pPr>
      <w:r>
        <w:rPr>
          <w:rFonts w:ascii="Arial" w:cs="Arial" w:eastAsia="Arial" w:hAnsi="Arial"/>
          <w:sz w:val="22"/>
          <w:szCs w:val="22"/>
        </w:rPr>
        <w:t xml:space="preserve">Gradiente suave e monotônico: aumento de score reduz risco; aumento de renda (mantidos outros fatores) reduz ligeiramente o risco.</w:t>
      </w:r>
    </w:p>
    <w:p>
      <w:pPr>
        <w:pStyle w:val="ListParagraph"/>
        <w:numPr>
          <w:ilvl w:val="0"/>
          <w:numId w:val="2"/>
        </w:numPr>
        <w:spacing w:after="60" w:before="60"/>
      </w:pPr>
      <w:r>
        <w:rPr>
          <w:rFonts w:ascii="Arial" w:cs="Arial" w:eastAsia="Arial" w:hAnsi="Arial"/>
          <w:sz w:val="22"/>
          <w:szCs w:val="22"/>
        </w:rPr>
        <w:t xml:space="preserve">Sem descontinuidades, confirmando boa cobertura das regras.</w:t>
      </w:r>
    </w:p>
    <w:p>
      <w:pPr>
        <w:pStyle w:val="Heading1"/>
        <w:spacing w:after="160" w:before="320"/>
      </w:pPr>
      <w:r>
        <w:rPr>
          <w:rFonts w:ascii="Arial" w:cs="Arial" w:eastAsia="Arial" w:hAnsi="Arial"/>
          <w:b/>
          <w:bCs/>
          <w:color w:val="000000"/>
          <w:sz w:val="28"/>
          <w:szCs w:val="28"/>
        </w:rPr>
        <w:t xml:space="preserve">6. Análise Crítica</w:t>
      </w:r>
    </w:p>
    <w:p>
      <w:pPr>
        <w:pStyle w:val="Heading2"/>
        <w:spacing w:after="120" w:before="240"/>
      </w:pPr>
      <w:r>
        <w:rPr>
          <w:rFonts w:ascii="Arial" w:cs="Arial" w:eastAsia="Arial" w:hAnsi="Arial"/>
          <w:b/>
          <w:bCs/>
          <w:color w:val="000000"/>
          <w:sz w:val="24"/>
          <w:szCs w:val="24"/>
        </w:rPr>
        <w:t xml:space="preserve">Pontos Fortes</w:t>
      </w:r>
    </w:p>
    <w:p>
      <w:pPr>
        <w:pStyle w:val="ListParagraph"/>
        <w:numPr>
          <w:ilvl w:val="0"/>
          <w:numId w:val="2"/>
        </w:numPr>
        <w:spacing w:after="60" w:before="60"/>
      </w:pPr>
      <w:r>
        <w:rPr>
          <w:rFonts w:ascii="Arial" w:cs="Arial" w:eastAsia="Arial" w:hAnsi="Arial"/>
          <w:sz w:val="22"/>
          <w:szCs w:val="22"/>
        </w:rPr>
        <w:t xml:space="preserve">Sistema interpretável: cada regra tem justificativa de negócio clara.</w:t>
      </w:r>
    </w:p>
    <w:p>
      <w:pPr>
        <w:pStyle w:val="ListParagraph"/>
        <w:numPr>
          <w:ilvl w:val="0"/>
          <w:numId w:val="2"/>
        </w:numPr>
        <w:spacing w:after="60" w:before="60"/>
      </w:pPr>
      <w:r>
        <w:rPr>
          <w:rFonts w:ascii="Arial" w:cs="Arial" w:eastAsia="Arial" w:hAnsi="Arial"/>
          <w:sz w:val="22"/>
          <w:szCs w:val="22"/>
        </w:rPr>
        <w:t xml:space="preserve">Cobertura: 18 regras cobrem os principais quadrantes do espaço score × comprometimento, com regras especiais para extremos e mitigadores.</w:t>
      </w:r>
    </w:p>
    <w:p>
      <w:pPr>
        <w:pStyle w:val="ListParagraph"/>
        <w:numPr>
          <w:ilvl w:val="0"/>
          <w:numId w:val="2"/>
        </w:numPr>
        <w:spacing w:after="60" w:before="60"/>
      </w:pPr>
      <w:r>
        <w:rPr>
          <w:rFonts w:ascii="Arial" w:cs="Arial" w:eastAsia="Arial" w:hAnsi="Arial"/>
          <w:sz w:val="22"/>
          <w:szCs w:val="22"/>
        </w:rPr>
        <w:t xml:space="preserve">Robustez: cenários críticos (1, 2, 8, 9) são classificados corretamente mesmo sem otimização.</w:t>
      </w:r>
    </w:p>
    <w:p>
      <w:pPr>
        <w:pStyle w:val="Heading2"/>
        <w:spacing w:after="120" w:before="240"/>
      </w:pPr>
      <w:r>
        <w:rPr>
          <w:rFonts w:ascii="Arial" w:cs="Arial" w:eastAsia="Arial" w:hAnsi="Arial"/>
          <w:b/>
          <w:bCs/>
          <w:color w:val="000000"/>
          <w:sz w:val="24"/>
          <w:szCs w:val="24"/>
        </w:rPr>
        <w:t xml:space="preserve">Limitações</w:t>
      </w:r>
    </w:p>
    <w:p>
      <w:pPr>
        <w:pStyle w:val="ListParagraph"/>
        <w:numPr>
          <w:ilvl w:val="0"/>
          <w:numId w:val="2"/>
        </w:numPr>
        <w:spacing w:after="60" w:before="60"/>
      </w:pPr>
      <w:r>
        <w:rPr>
          <w:rFonts w:ascii="Arial" w:cs="Arial" w:eastAsia="Arial" w:hAnsi="Arial"/>
          <w:sz w:val="22"/>
          <w:szCs w:val="22"/>
        </w:rPr>
        <w:t xml:space="preserve">Base de regras manual: as 18 regras foram definidas por raciocínio do desenvolvedor, não por dados históricos reais. Um sistema em produção exigiria validação com especialistas de crédito e dados empíricos.</w:t>
      </w:r>
    </w:p>
    <w:p>
      <w:pPr>
        <w:pStyle w:val="ListParagraph"/>
        <w:numPr>
          <w:ilvl w:val="0"/>
          <w:numId w:val="2"/>
        </w:numPr>
        <w:spacing w:after="60" w:before="60"/>
      </w:pPr>
      <w:r>
        <w:rPr>
          <w:rFonts w:ascii="Arial" w:cs="Arial" w:eastAsia="Arial" w:hAnsi="Arial"/>
          <w:sz w:val="22"/>
          <w:szCs w:val="22"/>
        </w:rPr>
        <w:t xml:space="preserve">Cenários conflitantes: situações onde variáveis importantes apontam em direções opostas (ex.: renda alta com score muito ruim) são inerentemente difíceis para qualquer sistema baseado em regras.</w:t>
      </w:r>
    </w:p>
    <w:p>
      <w:pPr>
        <w:pStyle w:val="ListParagraph"/>
        <w:numPr>
          <w:ilvl w:val="0"/>
          <w:numId w:val="2"/>
        </w:numPr>
        <w:spacing w:after="60" w:before="60"/>
      </w:pPr>
      <w:r>
        <w:rPr>
          <w:rFonts w:ascii="Arial" w:cs="Arial" w:eastAsia="Arial" w:hAnsi="Arial"/>
          <w:sz w:val="22"/>
          <w:szCs w:val="22"/>
        </w:rPr>
        <w:t xml:space="preserve">Dimensionalidade: com 4 entradas cada uma com 4–5 termos, o espaço teórico de regras é 5×4×5×4 = 400. As 18 regras cobrem os casos mais importantes, mas casos extremamente incomuns podem não estar cobertos.</w:t>
      </w:r>
    </w:p>
    <w:p>
      <w:pPr>
        <w:pStyle w:val="Heading2"/>
        <w:spacing w:after="120" w:before="240"/>
      </w:pPr>
      <w:r>
        <w:rPr>
          <w:rFonts w:ascii="Arial" w:cs="Arial" w:eastAsia="Arial" w:hAnsi="Arial"/>
          <w:b/>
          <w:bCs/>
          <w:color w:val="000000"/>
          <w:sz w:val="24"/>
          <w:szCs w:val="24"/>
        </w:rPr>
        <w:t xml:space="preserve">Adequação da Abordagem Fuzzy</w:t>
      </w:r>
    </w:p>
    <w:p>
      <w:pPr>
        <w:spacing w:after="80" w:before="80"/>
        <w:jc w:val="left"/>
      </w:pPr>
      <w:r>
        <w:rPr>
          <w:rFonts w:ascii="Arial" w:cs="Arial" w:eastAsia="Arial" w:hAnsi="Arial"/>
          <w:sz w:val="22"/>
          <w:szCs w:val="22"/>
        </w:rPr>
        <w:t xml:space="preserve">A lógica fuzzy é especialmente adequada para avaliação de crédito porque:</w:t>
      </w:r>
    </w:p>
    <w:p>
      <w:pPr>
        <w:pStyle w:val="ListParagraph"/>
        <w:numPr>
          <w:ilvl w:val="0"/>
          <w:numId w:val="2"/>
        </w:numPr>
        <w:spacing w:after="60" w:before="60"/>
      </w:pPr>
      <w:r>
        <w:rPr>
          <w:rFonts w:ascii="Arial" w:cs="Arial" w:eastAsia="Arial" w:hAnsi="Arial"/>
          <w:sz w:val="22"/>
          <w:szCs w:val="22"/>
        </w:rPr>
        <w:t xml:space="preserve">Variáveis como "renda alta" ou "bom pagador" são intrinsecamente vagas.</w:t>
      </w:r>
    </w:p>
    <w:p>
      <w:pPr>
        <w:pStyle w:val="ListParagraph"/>
        <w:numPr>
          <w:ilvl w:val="0"/>
          <w:numId w:val="2"/>
        </w:numPr>
        <w:spacing w:after="60" w:before="60"/>
      </w:pPr>
      <w:r>
        <w:rPr>
          <w:rFonts w:ascii="Arial" w:cs="Arial" w:eastAsia="Arial" w:hAnsi="Arial"/>
          <w:sz w:val="22"/>
          <w:szCs w:val="22"/>
        </w:rPr>
        <w:t xml:space="preserve">O resultado (risco) é um índice contínuo, não uma categoria binária.</w:t>
      </w:r>
    </w:p>
    <w:p>
      <w:pPr>
        <w:pStyle w:val="ListParagraph"/>
        <w:numPr>
          <w:ilvl w:val="0"/>
          <w:numId w:val="2"/>
        </w:numPr>
        <w:spacing w:after="60" w:before="60"/>
      </w:pPr>
      <w:r>
        <w:rPr>
          <w:rFonts w:ascii="Arial" w:cs="Arial" w:eastAsia="Arial" w:hAnsi="Arial"/>
          <w:sz w:val="22"/>
          <w:szCs w:val="22"/>
        </w:rPr>
        <w:t xml:space="preserve">As regras se conectam diretamente à linguagem dos analistas de crédito.</w:t>
      </w:r>
    </w:p>
    <w:p>
      <w:pPr>
        <w:pStyle w:val="Heading1"/>
        <w:spacing w:after="160" w:before="320"/>
      </w:pPr>
      <w:r>
        <w:rPr>
          <w:rFonts w:ascii="Arial" w:cs="Arial" w:eastAsia="Arial" w:hAnsi="Arial"/>
          <w:b/>
          <w:bCs/>
          <w:color w:val="000000"/>
          <w:sz w:val="28"/>
          <w:szCs w:val="28"/>
        </w:rPr>
        <w:t xml:space="preserve">7. Instruções de Execução</w:t>
      </w:r>
    </w:p>
    <w:p>
      <w:pPr>
        <w:spacing w:after="60" w:before="60"/>
        <w:ind w:left="720"/>
      </w:pPr>
      <w:r>
        <w:rPr>
          <w:rFonts w:ascii="Courier New" w:cs="Courier New" w:eastAsia="Courier New" w:hAnsi="Courier New"/>
          <w:color w:val="333333"/>
          <w:sz w:val="18"/>
          <w:szCs w:val="18"/>
        </w:rPr>
        <w:t xml:space="preserve"># 1. Instalar dependências</w:t>
      </w:r>
    </w:p>
    <w:p>
      <w:pPr>
        <w:spacing w:after="60" w:before="60"/>
        <w:ind w:left="720"/>
      </w:pPr>
      <w:r>
        <w:rPr>
          <w:rFonts w:ascii="Courier New" w:cs="Courier New" w:eastAsia="Courier New" w:hAnsi="Courier New"/>
          <w:color w:val="333333"/>
          <w:sz w:val="18"/>
          <w:szCs w:val="18"/>
        </w:rPr>
        <w:t xml:space="preserve">pip install -r requirements.txt</w:t>
      </w:r>
    </w:p>
    <w:p>
      <w:pPr>
        <w:spacing w:after="60" w:before="60"/>
        <w:ind w:left="720"/>
      </w:pPr>
      <w:r>
        <w:rPr>
          <w:rFonts w:ascii="Courier New" w:cs="Courier New" w:eastAsia="Courier New" w:hAnsi="Courier New"/>
          <w:color w:val="333333"/>
          <w:sz w:val="18"/>
          <w:szCs w:val="18"/>
        </w:rPr>
        <w:t xml:space="preserve"/>
      </w:r>
    </w:p>
    <w:p>
      <w:pPr>
        <w:spacing w:after="60" w:before="60"/>
        <w:ind w:left="720"/>
      </w:pPr>
      <w:r>
        <w:rPr>
          <w:rFonts w:ascii="Courier New" w:cs="Courier New" w:eastAsia="Courier New" w:hAnsi="Courier New"/>
          <w:color w:val="333333"/>
          <w:sz w:val="18"/>
          <w:szCs w:val="18"/>
        </w:rPr>
        <w:t xml:space="preserve"># 2. Executar o notebook completo</w:t>
      </w:r>
    </w:p>
    <w:p>
      <w:pPr>
        <w:spacing w:after="60" w:before="60"/>
        <w:ind w:left="720"/>
      </w:pPr>
      <w:r>
        <w:rPr>
          <w:rFonts w:ascii="Courier New" w:cs="Courier New" w:eastAsia="Courier New" w:hAnsi="Courier New"/>
          <w:color w:val="333333"/>
          <w:sz w:val="18"/>
          <w:szCs w:val="18"/>
        </w:rPr>
        <w:t xml:space="preserve">jupyter notebook risco_credito_fuzzy_pso.ipynb</w:t>
      </w:r>
    </w:p>
    <w:p>
      <w:pPr>
        <w:spacing w:after="60" w:before="60"/>
        <w:ind w:left="720"/>
      </w:pPr>
      <w:r>
        <w:rPr>
          <w:rFonts w:ascii="Courier New" w:cs="Courier New" w:eastAsia="Courier New" w:hAnsi="Courier New"/>
          <w:color w:val="333333"/>
          <w:sz w:val="18"/>
          <w:szCs w:val="18"/>
        </w:rPr>
        <w:t xml:space="preserve"># Execute todas as células de cima para baixo (Run All)</w:t>
      </w:r>
    </w:p>
    <w:p>
      <w:pPr>
        <w:spacing w:after="80" w:before="80"/>
        <w:jc w:val="left"/>
      </w:pPr>
      <w:r>
        <w:rPr>
          <w:rFonts w:ascii="Arial" w:cs="Arial" w:eastAsia="Arial" w:hAnsi="Arial"/>
          <w:sz w:val="22"/>
          <w:szCs w:val="22"/>
        </w:rPr>
        <w:t xml:space="preserve">Os arquivos de saída são gerados automaticamente em results/.</w:t>
      </w:r>
    </w:p>
    <w:p>
      <w:pPr>
        <w:pStyle w:val="Heading1"/>
        <w:spacing w:after="160" w:before="320"/>
      </w:pPr>
      <w:r>
        <w:rPr>
          <w:rFonts w:ascii="Arial" w:cs="Arial" w:eastAsia="Arial" w:hAnsi="Arial"/>
          <w:b/>
          <w:bCs/>
          <w:color w:val="000000"/>
          <w:sz w:val="28"/>
          <w:szCs w:val="28"/>
        </w:rPr>
        <w:t xml:space="preserve">8. Declaração de Uso de IA Generativa</w:t>
      </w:r>
    </w:p>
    <w:p>
      <w:pPr>
        <w:spacing w:after="80" w:before="80"/>
        <w:jc w:val="left"/>
      </w:pPr>
      <w:r>
        <w:rPr>
          <w:rFonts w:ascii="Arial" w:cs="Arial" w:eastAsia="Arial" w:hAnsi="Arial"/>
          <w:sz w:val="22"/>
          <w:szCs w:val="22"/>
        </w:rPr>
        <w:t xml:space="preserve">Ferramentas de IA generativa (Claude Sonnet) foram utilizadas como auxílio na:</w:t>
      </w:r>
    </w:p>
    <w:p>
      <w:pPr>
        <w:pStyle w:val="ListParagraph"/>
        <w:numPr>
          <w:ilvl w:val="0"/>
          <w:numId w:val="2"/>
        </w:numPr>
        <w:spacing w:after="60" w:before="60"/>
      </w:pPr>
      <w:r>
        <w:rPr>
          <w:rFonts w:ascii="Arial" w:cs="Arial" w:eastAsia="Arial" w:hAnsi="Arial"/>
          <w:sz w:val="22"/>
          <w:szCs w:val="22"/>
        </w:rPr>
        <w:t xml:space="preserve">Estruturação do código Python e do notebook</w:t>
      </w:r>
    </w:p>
    <w:p>
      <w:pPr>
        <w:pStyle w:val="ListParagraph"/>
        <w:numPr>
          <w:ilvl w:val="0"/>
          <w:numId w:val="2"/>
        </w:numPr>
        <w:spacing w:after="60" w:before="60"/>
      </w:pPr>
      <w:r>
        <w:rPr>
          <w:rFonts w:ascii="Arial" w:cs="Arial" w:eastAsia="Arial" w:hAnsi="Arial"/>
          <w:sz w:val="22"/>
          <w:szCs w:val="22"/>
        </w:rPr>
        <w:t xml:space="preserve">Revisão da lógica das regras fuzzy</w:t>
      </w:r>
    </w:p>
    <w:p>
      <w:pPr>
        <w:pStyle w:val="ListParagraph"/>
        <w:numPr>
          <w:ilvl w:val="0"/>
          <w:numId w:val="2"/>
        </w:numPr>
        <w:spacing w:after="60" w:before="60"/>
      </w:pPr>
      <w:r>
        <w:rPr>
          <w:rFonts w:ascii="Arial" w:cs="Arial" w:eastAsia="Arial" w:hAnsi="Arial"/>
          <w:sz w:val="22"/>
          <w:szCs w:val="22"/>
        </w:rPr>
        <w:t xml:space="preserve">Geração de comentários e documentação</w:t>
      </w:r>
    </w:p>
    <w:p>
      <w:pPr>
        <w:spacing w:after="80" w:before="80"/>
        <w:jc w:val="both"/>
      </w:pPr>
      <w:r>
        <w:rPr>
          <w:rFonts w:ascii="Arial" w:cs="Arial" w:eastAsia="Arial" w:hAnsi="Arial"/>
          <w:sz w:val="22"/>
          <w:szCs w:val="22"/>
        </w:rPr>
        <w:t xml:space="preserve">Todo o código foi revisado, compreendido e validado pelos autores. A concepção do sistema (escolha das variáveis, design das regras, interpretação dos resultados) é de autoria própria.</w:t>
      </w:r>
    </w:p>
    <w:p>
      <w:pPr>
        <w:spacing w:after="60" w:before="60"/>
      </w:pPr>
      <w:r>
        <w:rPr>
          <w:sz w:val="22"/>
          <w:szCs w:val="22"/>
        </w:rPr>
        <w:t xml:space="preserve"/>
      </w:r>
    </w:p>
    <w:p>
      <w:pPr>
        <w:pBdr>
          <w:top w:val="single" w:color="000000" w:sz="4" w:space="1"/>
        </w:pBdr>
        <w:spacing w:after="80" w:before="240"/>
        <w:jc w:val="center"/>
      </w:pPr>
      <w:r>
        <w:rPr>
          <w:rFonts w:ascii="Arial" w:cs="Arial" w:eastAsia="Arial" w:hAnsi="Arial"/>
          <w:color w:val="000000"/>
          <w:sz w:val="18"/>
          <w:szCs w:val="18"/>
        </w:rPr>
        <w:t xml:space="preserve">Relatório gerado para AV2 — Disciplina 0700M8 — CESUPA 01/2026</w:t>
      </w:r>
    </w:p>
    <w:sectPr>
      <w:head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120"/>
    </w:pPr>
    <w:r>
      <w:rPr>
        <w:rFonts w:ascii="Arial" w:cs="Arial" w:eastAsia="Arial" w:hAnsi="Arial"/>
        <w:color w:val="000000"/>
        <w:sz w:val="18"/>
        <w:szCs w:val="18"/>
      </w:rPr>
      <w:t xml:space="preserve">AV2 — Parte 1: Sistema de Controle Fuzzy  |  CESUPA 01/2026  |  0700M8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2026-06-09T18:16:21.468Z</dcterms:created>
  <dcterms:modified xsi:type="dcterms:W3CDTF">2026-06-09T18:16:21.481Z</dcterms:modified>
</cp:coreProperties>
</file>

<file path=docProps/custom.xml><?xml version="1.0" encoding="utf-8"?>
<Properties xmlns="http://schemas.openxmlformats.org/officeDocument/2006/custom-properties" xmlns:vt="http://schemas.openxmlformats.org/officeDocument/2006/docPropsVTypes"/>
</file>