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7D7D" w14:textId="77777777" w:rsidR="004F728B" w:rsidRDefault="0015352A" w:rsidP="00CF1F95">
      <w:pPr>
        <w:jc w:val="both"/>
        <w:rPr>
          <w:rFonts w:ascii="Tahoma" w:eastAsia="Tahoma" w:hAnsi="Tahoma" w:cs="Tahoma"/>
          <w:b/>
          <w:sz w:val="14"/>
          <w:szCs w:val="14"/>
        </w:rPr>
      </w:pPr>
      <w:r>
        <w:rPr>
          <w:noProof/>
          <w:lang w:val="es-PE" w:eastAsia="es-PE"/>
        </w:rPr>
        <w:drawing>
          <wp:anchor distT="0" distB="0" distL="0" distR="0" simplePos="0" relativeHeight="251658240" behindDoc="0" locked="0" layoutInCell="1" hidden="0" allowOverlap="1" wp14:anchorId="5E54BFB6" wp14:editId="140FCF3B">
            <wp:simplePos x="0" y="0"/>
            <wp:positionH relativeFrom="column">
              <wp:posOffset>2472690</wp:posOffset>
            </wp:positionH>
            <wp:positionV relativeFrom="paragraph">
              <wp:posOffset>0</wp:posOffset>
            </wp:positionV>
            <wp:extent cx="847725" cy="752475"/>
            <wp:effectExtent l="0" t="0" r="9525" b="9525"/>
            <wp:wrapSquare wrapText="bothSides" distT="0" distB="0" distL="0" distR="0"/>
            <wp:docPr id="8" name="image1.jpg" descr="escudo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scudo-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sz w:val="14"/>
          <w:szCs w:val="14"/>
        </w:rPr>
        <w:t xml:space="preserve"> </w:t>
      </w:r>
    </w:p>
    <w:p w14:paraId="4308F083" w14:textId="2AA56655" w:rsidR="00E17C24" w:rsidRDefault="004F728B" w:rsidP="004F728B">
      <w:pPr>
        <w:rPr>
          <w:rFonts w:ascii="Tahoma" w:eastAsia="Tahoma" w:hAnsi="Tahoma" w:cs="Tahoma"/>
          <w:b/>
          <w:sz w:val="14"/>
          <w:szCs w:val="14"/>
        </w:rPr>
      </w:pPr>
      <w:r>
        <w:rPr>
          <w:rFonts w:ascii="Tahoma" w:eastAsia="Tahoma" w:hAnsi="Tahoma" w:cs="Tahoma"/>
          <w:b/>
          <w:sz w:val="14"/>
          <w:szCs w:val="14"/>
        </w:rPr>
        <w:t xml:space="preserve">          </w:t>
      </w:r>
      <w:r w:rsidR="0015352A">
        <w:rPr>
          <w:rFonts w:ascii="Tahoma" w:eastAsia="Tahoma" w:hAnsi="Tahoma" w:cs="Tahoma"/>
          <w:b/>
          <w:sz w:val="14"/>
          <w:szCs w:val="14"/>
        </w:rPr>
        <w:t xml:space="preserve">MINISTERIO DE EDUCACIÓN   </w:t>
      </w:r>
      <w:r w:rsidR="0015352A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24BD90" wp14:editId="0388F6F0">
                <wp:simplePos x="0" y="0"/>
                <wp:positionH relativeFrom="column">
                  <wp:posOffset>3606800</wp:posOffset>
                </wp:positionH>
                <wp:positionV relativeFrom="paragraph">
                  <wp:posOffset>38100</wp:posOffset>
                </wp:positionV>
                <wp:extent cx="2143125" cy="466725"/>
                <wp:effectExtent l="0" t="0" r="0" b="0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9200" y="3551400"/>
                          <a:ext cx="21336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 h="457200" extrusionOk="0">
                              <a:moveTo>
                                <a:pt x="0" y="0"/>
                              </a:moveTo>
                              <a:lnTo>
                                <a:pt x="0" y="457200"/>
                              </a:lnTo>
                              <a:lnTo>
                                <a:pt x="2133600" y="457200"/>
                              </a:lnTo>
                              <a:lnTo>
                                <a:pt x="213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B6292E" w14:textId="1F9AFE07" w:rsidR="00E17C24" w:rsidRDefault="0015352A">
                            <w:pPr>
                              <w:jc w:val="center"/>
                              <w:textDirection w:val="btLr"/>
                              <w:rPr>
                                <w:rFonts w:ascii="Tahoma" w:eastAsia="Tahoma" w:hAnsi="Tahoma" w:cs="Tahoma"/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9758A8">
                              <w:rPr>
                                <w:rFonts w:ascii="Tahoma" w:eastAsia="Tahoma" w:hAnsi="Tahoma" w:cs="Tahoma"/>
                                <w:b/>
                                <w:color w:val="000000" w:themeColor="text1"/>
                                <w:sz w:val="14"/>
                              </w:rPr>
                              <w:t>INSTITUCIÓN EDUCATIVA</w:t>
                            </w:r>
                            <w:r w:rsidR="009758A8">
                              <w:rPr>
                                <w:rFonts w:ascii="Tahoma" w:eastAsia="Tahoma" w:hAnsi="Tahoma" w:cs="Tahoma"/>
                                <w:b/>
                                <w:color w:val="000000" w:themeColor="text1"/>
                                <w:sz w:val="14"/>
                              </w:rPr>
                              <w:t xml:space="preserve"> INICIAL</w:t>
                            </w:r>
                          </w:p>
                          <w:p w14:paraId="23CD8CB0" w14:textId="18100DF7" w:rsidR="009758A8" w:rsidRPr="009758A8" w:rsidRDefault="009758A8">
                            <w:pPr>
                              <w:jc w:val="center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 w:themeColor="text1"/>
                                <w:sz w:val="14"/>
                              </w:rPr>
                              <w:t>REYNO DE LOS NIÑOS</w:t>
                            </w:r>
                          </w:p>
                          <w:p w14:paraId="640E41DC" w14:textId="45F739A7" w:rsidR="00E17C24" w:rsidRDefault="00E17C2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4BD90" id="Forma libre: forma 5" o:spid="_x0000_s1026" style="position:absolute;margin-left:284pt;margin-top:3pt;width:168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36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" adj="-11796480,,5400" path="m,l,457200r2133600,l2133600,,,xe" stroked="f">
                <v:stroke joinstyle="miter"/>
                <v:formulas/>
                <v:path arrowok="t" o:extrusionok="f" o:connecttype="custom" textboxrect="0,0,2133600,457200"/>
                <v:textbox inset="7pt,3pt,7pt,3pt">
                  <w:txbxContent>
                    <w:p w14:paraId="7CB6292E" w14:textId="1F9AFE07" w:rsidR="00E17C24" w:rsidRDefault="0015352A">
                      <w:pPr>
                        <w:jc w:val="center"/>
                        <w:textDirection w:val="btLr"/>
                        <w:rPr>
                          <w:rFonts w:ascii="Tahoma" w:eastAsia="Tahoma" w:hAnsi="Tahoma" w:cs="Tahoma"/>
                          <w:b/>
                          <w:color w:val="000000" w:themeColor="text1"/>
                          <w:sz w:val="14"/>
                        </w:rPr>
                      </w:pPr>
                      <w:r w:rsidRPr="009758A8">
                        <w:rPr>
                          <w:rFonts w:ascii="Tahoma" w:eastAsia="Tahoma" w:hAnsi="Tahoma" w:cs="Tahoma"/>
                          <w:b/>
                          <w:color w:val="000000" w:themeColor="text1"/>
                          <w:sz w:val="14"/>
                        </w:rPr>
                        <w:t>INSTITUCIÓN EDUCATIVA</w:t>
                      </w:r>
                      <w:r w:rsidR="009758A8">
                        <w:rPr>
                          <w:rFonts w:ascii="Tahoma" w:eastAsia="Tahoma" w:hAnsi="Tahoma" w:cs="Tahoma"/>
                          <w:b/>
                          <w:color w:val="000000" w:themeColor="text1"/>
                          <w:sz w:val="14"/>
                        </w:rPr>
                        <w:t xml:space="preserve"> INICIAL</w:t>
                      </w:r>
                    </w:p>
                    <w:p w14:paraId="23CD8CB0" w14:textId="18100DF7" w:rsidR="009758A8" w:rsidRPr="009758A8" w:rsidRDefault="009758A8">
                      <w:pPr>
                        <w:jc w:val="center"/>
                        <w:textDirection w:val="btL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color w:val="000000" w:themeColor="text1"/>
                          <w:sz w:val="14"/>
                        </w:rPr>
                        <w:t>REYNO DE LOS NIÑOS</w:t>
                      </w:r>
                    </w:p>
                    <w:p w14:paraId="640E41DC" w14:textId="45F739A7" w:rsidR="00E17C24" w:rsidRDefault="00E17C24">
                      <w:pPr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8FFAFA0" w14:textId="77777777" w:rsidR="00E17C24" w:rsidRDefault="0015352A">
      <w:pPr>
        <w:rPr>
          <w:rFonts w:ascii="Tahoma" w:eastAsia="Tahoma" w:hAnsi="Tahoma" w:cs="Tahoma"/>
          <w:b/>
          <w:sz w:val="14"/>
          <w:szCs w:val="14"/>
        </w:rPr>
      </w:pPr>
      <w:r>
        <w:rPr>
          <w:rFonts w:ascii="Tahoma" w:eastAsia="Tahoma" w:hAnsi="Tahoma" w:cs="Tahoma"/>
          <w:b/>
          <w:sz w:val="14"/>
          <w:szCs w:val="14"/>
        </w:rPr>
        <w:t xml:space="preserve">UNIDAD DE GESTION EDUCATIVA LOCAL                            </w:t>
      </w:r>
    </w:p>
    <w:p w14:paraId="14016565" w14:textId="2ABEA980" w:rsidR="00E17C24" w:rsidRDefault="0015352A">
      <w:pPr>
        <w:pStyle w:val="Ttulo1"/>
        <w:rPr>
          <w:rFonts w:ascii="Tahoma" w:eastAsia="Tahoma" w:hAnsi="Tahoma" w:cs="Tahoma"/>
          <w:b/>
          <w:sz w:val="14"/>
          <w:szCs w:val="14"/>
          <w:u w:val="none"/>
        </w:rPr>
      </w:pPr>
      <w:r>
        <w:rPr>
          <w:rFonts w:ascii="Tahoma" w:eastAsia="Tahoma" w:hAnsi="Tahoma" w:cs="Tahoma"/>
          <w:b/>
          <w:sz w:val="14"/>
          <w:szCs w:val="14"/>
          <w:u w:val="none"/>
        </w:rPr>
        <w:t xml:space="preserve">                  </w:t>
      </w:r>
      <w:r w:rsidR="004F728B">
        <w:rPr>
          <w:rFonts w:ascii="Tahoma" w:eastAsia="Tahoma" w:hAnsi="Tahoma" w:cs="Tahoma"/>
          <w:b/>
          <w:sz w:val="14"/>
          <w:szCs w:val="14"/>
          <w:u w:val="none"/>
        </w:rPr>
        <w:t xml:space="preserve">  </w:t>
      </w:r>
      <w:r>
        <w:rPr>
          <w:rFonts w:ascii="Tahoma" w:eastAsia="Tahoma" w:hAnsi="Tahoma" w:cs="Tahoma"/>
          <w:b/>
          <w:sz w:val="14"/>
          <w:szCs w:val="14"/>
          <w:u w:val="none"/>
        </w:rPr>
        <w:t>AREQUIPA SUR</w:t>
      </w:r>
    </w:p>
    <w:p w14:paraId="149B861F" w14:textId="77777777" w:rsidR="00E17C24" w:rsidRDefault="00E17C24">
      <w:pPr>
        <w:rPr>
          <w:rFonts w:ascii="Tahoma" w:eastAsia="Tahoma" w:hAnsi="Tahoma" w:cs="Tahoma"/>
          <w:sz w:val="20"/>
          <w:szCs w:val="20"/>
        </w:rPr>
      </w:pPr>
    </w:p>
    <w:p w14:paraId="2D75101B" w14:textId="77777777" w:rsidR="00E17C24" w:rsidRDefault="00E17C2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Corsiva" w:eastAsia="Corsiva" w:hAnsi="Corsiva" w:cs="Corsiva"/>
          <w:b/>
          <w:color w:val="000000"/>
          <w:sz w:val="16"/>
          <w:szCs w:val="16"/>
        </w:rPr>
      </w:pPr>
    </w:p>
    <w:p w14:paraId="7EF7A22A" w14:textId="77777777" w:rsidR="00E17C24" w:rsidRDefault="00E17C2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Corsiva" w:eastAsia="Corsiva" w:hAnsi="Corsiva" w:cs="Corsiva"/>
          <w:b/>
          <w:color w:val="000000"/>
          <w:sz w:val="32"/>
          <w:szCs w:val="32"/>
        </w:rPr>
      </w:pPr>
    </w:p>
    <w:p w14:paraId="7D151499" w14:textId="7746299A" w:rsidR="00E17C24" w:rsidRDefault="0021228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Corsiva" w:eastAsia="Corsiva" w:hAnsi="Corsiva" w:cs="Corsiva"/>
          <w:b/>
          <w:color w:val="000000"/>
          <w:sz w:val="32"/>
          <w:szCs w:val="32"/>
        </w:rPr>
      </w:pPr>
      <w:r>
        <w:rPr>
          <w:rFonts w:ascii="Corsiva" w:eastAsia="Corsiva" w:hAnsi="Corsiva" w:cs="Corsiva"/>
          <w:b/>
          <w:color w:val="000000"/>
          <w:sz w:val="32"/>
          <w:szCs w:val="32"/>
        </w:rPr>
        <w:t>Resolución Directoral Nº 0</w:t>
      </w:r>
      <w:r w:rsidR="00037205">
        <w:rPr>
          <w:rFonts w:ascii="Corsiva" w:eastAsia="Corsiva" w:hAnsi="Corsiva" w:cs="Corsiva"/>
          <w:b/>
          <w:color w:val="000000"/>
          <w:sz w:val="32"/>
          <w:szCs w:val="32"/>
        </w:rPr>
        <w:t>02</w:t>
      </w:r>
      <w:r w:rsidR="0015352A">
        <w:rPr>
          <w:rFonts w:ascii="Corsiva" w:eastAsia="Corsiva" w:hAnsi="Corsiva" w:cs="Corsiva"/>
          <w:b/>
          <w:color w:val="000000"/>
          <w:sz w:val="32"/>
          <w:szCs w:val="32"/>
        </w:rPr>
        <w:t xml:space="preserve"> -202</w:t>
      </w:r>
      <w:r w:rsidR="00037205">
        <w:rPr>
          <w:rFonts w:ascii="Corsiva" w:eastAsia="Corsiva" w:hAnsi="Corsiva" w:cs="Corsiva"/>
          <w:b/>
          <w:color w:val="000000"/>
          <w:sz w:val="32"/>
          <w:szCs w:val="32"/>
        </w:rPr>
        <w:t>3</w:t>
      </w:r>
    </w:p>
    <w:p w14:paraId="2CC42ECA" w14:textId="5A05899F" w:rsidR="00E17C24" w:rsidRDefault="003139C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21228C">
        <w:rPr>
          <w:sz w:val="22"/>
          <w:szCs w:val="22"/>
        </w:rPr>
        <w:t>Arequipa, 1</w:t>
      </w:r>
      <w:r w:rsidR="00037205">
        <w:rPr>
          <w:sz w:val="22"/>
          <w:szCs w:val="22"/>
        </w:rPr>
        <w:t>0</w:t>
      </w:r>
      <w:r w:rsidR="0021228C">
        <w:rPr>
          <w:sz w:val="22"/>
          <w:szCs w:val="22"/>
        </w:rPr>
        <w:t xml:space="preserve"> de </w:t>
      </w:r>
      <w:r w:rsidR="00037205">
        <w:rPr>
          <w:sz w:val="22"/>
          <w:szCs w:val="22"/>
        </w:rPr>
        <w:t>marzo</w:t>
      </w:r>
      <w:r w:rsidR="0021228C">
        <w:rPr>
          <w:sz w:val="22"/>
          <w:szCs w:val="22"/>
        </w:rPr>
        <w:t xml:space="preserve"> del 202</w:t>
      </w:r>
      <w:r w:rsidR="00037205">
        <w:rPr>
          <w:sz w:val="22"/>
          <w:szCs w:val="22"/>
        </w:rPr>
        <w:t>3</w:t>
      </w:r>
      <w:r w:rsidR="0015352A">
        <w:rPr>
          <w:sz w:val="22"/>
          <w:szCs w:val="22"/>
        </w:rPr>
        <w:t xml:space="preserve">            </w:t>
      </w:r>
    </w:p>
    <w:p w14:paraId="7D43C2F0" w14:textId="77777777" w:rsidR="00E17C24" w:rsidRDefault="00E17C24">
      <w:pPr>
        <w:jc w:val="center"/>
        <w:rPr>
          <w:sz w:val="22"/>
          <w:szCs w:val="22"/>
        </w:rPr>
      </w:pPr>
    </w:p>
    <w:p w14:paraId="01EE683D" w14:textId="36DB59AF" w:rsidR="00FB43B2" w:rsidRDefault="00FB43B2" w:rsidP="00FB43B2">
      <w:pPr>
        <w:ind w:firstLine="4395"/>
        <w:jc w:val="both"/>
        <w:rPr>
          <w:sz w:val="22"/>
          <w:szCs w:val="22"/>
        </w:rPr>
      </w:pPr>
      <w:r w:rsidRPr="00FB43B2">
        <w:rPr>
          <w:sz w:val="22"/>
          <w:szCs w:val="22"/>
        </w:rPr>
        <w:t>Que, es política de la Dirección</w:t>
      </w:r>
      <w:r w:rsidR="0021228C">
        <w:rPr>
          <w:sz w:val="22"/>
          <w:szCs w:val="22"/>
        </w:rPr>
        <w:t xml:space="preserve"> de la Institución Educativa Reyno de los Niños</w:t>
      </w:r>
      <w:r w:rsidRPr="00FB43B2">
        <w:rPr>
          <w:color w:val="FF0000"/>
          <w:sz w:val="22"/>
          <w:szCs w:val="22"/>
        </w:rPr>
        <w:t xml:space="preserve"> </w:t>
      </w:r>
      <w:r w:rsidRPr="00FB43B2">
        <w:rPr>
          <w:sz w:val="22"/>
          <w:szCs w:val="22"/>
        </w:rPr>
        <w:t>brindar un coordinado servicio educativo para beneficio de la institución y compartir las funciones</w:t>
      </w:r>
      <w:r>
        <w:rPr>
          <w:sz w:val="22"/>
          <w:szCs w:val="22"/>
        </w:rPr>
        <w:t xml:space="preserve"> </w:t>
      </w:r>
      <w:r w:rsidRPr="00FB43B2">
        <w:rPr>
          <w:sz w:val="22"/>
          <w:szCs w:val="22"/>
        </w:rPr>
        <w:t>para agilizar el desenvolvimiento orgánico de la educación;</w:t>
      </w:r>
    </w:p>
    <w:p w14:paraId="6DE7258C" w14:textId="6C5D3B49" w:rsidR="00AA7521" w:rsidRDefault="00AA7521" w:rsidP="00FB43B2">
      <w:pPr>
        <w:ind w:firstLine="4395"/>
        <w:jc w:val="both"/>
        <w:rPr>
          <w:sz w:val="22"/>
          <w:szCs w:val="22"/>
        </w:rPr>
      </w:pPr>
      <w:bookmarkStart w:id="0" w:name="_Hlk84722900"/>
      <w:r w:rsidRPr="00AA7521">
        <w:rPr>
          <w:sz w:val="22"/>
          <w:szCs w:val="22"/>
        </w:rPr>
        <w:t>Que, mediante D.L. 1439 de la Dirección General de Abastecimiento del Ministerio de Economía y Finanzas es el ente rector responsable de normar los actos de adquisición, disposición, administración y supervisión de los bienes estatales;</w:t>
      </w:r>
    </w:p>
    <w:p w14:paraId="15288757" w14:textId="4FB863C4" w:rsidR="00B1202F" w:rsidRPr="00FB43B2" w:rsidRDefault="00B1202F" w:rsidP="00B1202F">
      <w:pPr>
        <w:ind w:firstLine="4395"/>
        <w:jc w:val="both"/>
        <w:rPr>
          <w:sz w:val="22"/>
          <w:szCs w:val="22"/>
        </w:rPr>
      </w:pPr>
      <w:r w:rsidRPr="00FB43B2">
        <w:rPr>
          <w:sz w:val="22"/>
          <w:szCs w:val="22"/>
        </w:rPr>
        <w:t>Que, la Ley Nº 29151, ley General del Sistema Nacional de Bienes Estatales, y su reglamento aprobado por el Decreto Supremo Nº 007-2008-VIVIENDA</w:t>
      </w:r>
      <w:r>
        <w:rPr>
          <w:sz w:val="22"/>
          <w:szCs w:val="22"/>
        </w:rPr>
        <w:t xml:space="preserve"> y sus modificatorias</w:t>
      </w:r>
      <w:r w:rsidRPr="00FB43B2">
        <w:rPr>
          <w:sz w:val="22"/>
          <w:szCs w:val="22"/>
        </w:rPr>
        <w:t>, establecen las normas que regulan el ámbito, organización, atribuciones y funcionamiento, en el marco del proceso de modernización de la gestión del Estado;</w:t>
      </w:r>
    </w:p>
    <w:p w14:paraId="3EC182B5" w14:textId="5B560DDB" w:rsidR="00FB43B2" w:rsidRPr="00FB43B2" w:rsidRDefault="00FB43B2" w:rsidP="00FB43B2">
      <w:pPr>
        <w:ind w:firstLine="4395"/>
        <w:jc w:val="both"/>
        <w:rPr>
          <w:sz w:val="22"/>
          <w:szCs w:val="22"/>
        </w:rPr>
      </w:pPr>
      <w:r w:rsidRPr="00FB43B2">
        <w:rPr>
          <w:sz w:val="22"/>
          <w:szCs w:val="22"/>
        </w:rPr>
        <w:t>Que, mediante Directiva Nº 001-2015</w:t>
      </w:r>
      <w:r w:rsidR="00AA7521">
        <w:rPr>
          <w:sz w:val="22"/>
          <w:szCs w:val="22"/>
        </w:rPr>
        <w:t>/</w:t>
      </w:r>
      <w:r w:rsidRPr="00FB43B2">
        <w:rPr>
          <w:sz w:val="22"/>
          <w:szCs w:val="22"/>
        </w:rPr>
        <w:t>SBN., tiene por objeto lograr que el proceso del inventario físico de</w:t>
      </w:r>
      <w:r>
        <w:rPr>
          <w:sz w:val="22"/>
          <w:szCs w:val="22"/>
        </w:rPr>
        <w:t xml:space="preserve"> b</w:t>
      </w:r>
      <w:r w:rsidRPr="00FB43B2">
        <w:rPr>
          <w:sz w:val="22"/>
          <w:szCs w:val="22"/>
        </w:rPr>
        <w:t xml:space="preserve">ienes </w:t>
      </w:r>
      <w:r>
        <w:rPr>
          <w:sz w:val="22"/>
          <w:szCs w:val="22"/>
        </w:rPr>
        <w:t>p</w:t>
      </w:r>
      <w:r w:rsidRPr="00FB43B2">
        <w:rPr>
          <w:sz w:val="22"/>
          <w:szCs w:val="22"/>
        </w:rPr>
        <w:t>atrimoniales se ejecute adoptando criterios uniformes en aplicación a los principios de racionalidad y funcionalidad concordantes con las normas establecidas y que están</w:t>
      </w:r>
      <w:r>
        <w:rPr>
          <w:sz w:val="22"/>
          <w:szCs w:val="22"/>
        </w:rPr>
        <w:t xml:space="preserve"> </w:t>
      </w:r>
      <w:r w:rsidRPr="00FB43B2">
        <w:rPr>
          <w:sz w:val="22"/>
          <w:szCs w:val="22"/>
        </w:rPr>
        <w:t>orientadas a comprobar la existencia física del bien y constatar físicamente el estado de conservación, ubicación condición de utilización.</w:t>
      </w:r>
    </w:p>
    <w:bookmarkEnd w:id="0"/>
    <w:p w14:paraId="056903D9" w14:textId="292D3407" w:rsidR="00FB43B2" w:rsidRPr="00FB43B2" w:rsidRDefault="00FB43B2" w:rsidP="00FB43B2">
      <w:pPr>
        <w:ind w:firstLine="4395"/>
        <w:jc w:val="both"/>
        <w:rPr>
          <w:sz w:val="22"/>
          <w:szCs w:val="22"/>
        </w:rPr>
      </w:pPr>
      <w:r w:rsidRPr="00FB43B2">
        <w:rPr>
          <w:sz w:val="22"/>
          <w:szCs w:val="22"/>
        </w:rPr>
        <w:t>Que, la comisión está integrada de conformidad a la normatividad vigente, siendo sus funciones la toma de Inventario correspondiente al presente año, el Inventario Físico</w:t>
      </w:r>
      <w:r>
        <w:rPr>
          <w:sz w:val="22"/>
          <w:szCs w:val="22"/>
        </w:rPr>
        <w:t xml:space="preserve"> </w:t>
      </w:r>
      <w:r w:rsidRPr="00FB43B2">
        <w:rPr>
          <w:sz w:val="22"/>
          <w:szCs w:val="22"/>
        </w:rPr>
        <w:t>valorizado 2021 y los formatos remitidos por la UGEL A</w:t>
      </w:r>
      <w:r>
        <w:rPr>
          <w:sz w:val="22"/>
          <w:szCs w:val="22"/>
        </w:rPr>
        <w:t>requipa Sur.</w:t>
      </w:r>
    </w:p>
    <w:p w14:paraId="33A5E533" w14:textId="21357DA2" w:rsidR="00FB43B2" w:rsidRPr="00FB43B2" w:rsidRDefault="00FB43B2" w:rsidP="00FB43B2">
      <w:pPr>
        <w:ind w:firstLine="4395"/>
        <w:jc w:val="both"/>
        <w:rPr>
          <w:sz w:val="22"/>
          <w:szCs w:val="22"/>
        </w:rPr>
      </w:pPr>
      <w:r w:rsidRPr="00FB43B2">
        <w:rPr>
          <w:sz w:val="22"/>
          <w:szCs w:val="22"/>
        </w:rPr>
        <w:t>Que</w:t>
      </w:r>
      <w:r>
        <w:rPr>
          <w:sz w:val="22"/>
          <w:szCs w:val="22"/>
        </w:rPr>
        <w:t>,</w:t>
      </w:r>
      <w:r w:rsidRPr="00FB43B2">
        <w:rPr>
          <w:sz w:val="22"/>
          <w:szCs w:val="22"/>
        </w:rPr>
        <w:t xml:space="preserve"> estando a lo dispuesto por el acta, donde dispone se proyecte la Resolución Directoral conformando la comisión de Inventarios para el ejercicio fiscal 2021, siendo</w:t>
      </w:r>
      <w:r>
        <w:rPr>
          <w:sz w:val="22"/>
          <w:szCs w:val="22"/>
        </w:rPr>
        <w:t xml:space="preserve"> </w:t>
      </w:r>
      <w:r w:rsidRPr="00FB43B2">
        <w:rPr>
          <w:sz w:val="22"/>
          <w:szCs w:val="22"/>
        </w:rPr>
        <w:t>procedente emitir la presente.</w:t>
      </w:r>
    </w:p>
    <w:p w14:paraId="0137AC03" w14:textId="783CC8F2" w:rsidR="00FB43B2" w:rsidRPr="00FB43B2" w:rsidRDefault="00FB43B2" w:rsidP="00FB43B2">
      <w:pPr>
        <w:ind w:firstLine="4395"/>
        <w:jc w:val="both"/>
        <w:rPr>
          <w:sz w:val="22"/>
          <w:szCs w:val="22"/>
        </w:rPr>
      </w:pPr>
      <w:r w:rsidRPr="00FB43B2">
        <w:rPr>
          <w:sz w:val="22"/>
          <w:szCs w:val="22"/>
        </w:rPr>
        <w:t>De conformidad con lo establecido en la Ley General de Educación Nº 28044, Ley de la Reforma Magisterial Nº 29944. Ley Nº 27444 “Ley de Procedimiento Administrativo General” Ley Nº 3</w:t>
      </w:r>
      <w:r w:rsidR="00640A4C">
        <w:rPr>
          <w:sz w:val="22"/>
          <w:szCs w:val="22"/>
        </w:rPr>
        <w:t>1084</w:t>
      </w:r>
      <w:r w:rsidRPr="00FB43B2">
        <w:rPr>
          <w:sz w:val="22"/>
          <w:szCs w:val="22"/>
        </w:rPr>
        <w:t xml:space="preserve"> “ley del Presupuesto del Sector Publico para el año fiscal 20</w:t>
      </w:r>
      <w:r w:rsidR="00640A4C">
        <w:rPr>
          <w:sz w:val="22"/>
          <w:szCs w:val="22"/>
        </w:rPr>
        <w:t>21</w:t>
      </w:r>
      <w:r w:rsidRPr="00FB43B2">
        <w:rPr>
          <w:sz w:val="22"/>
          <w:szCs w:val="22"/>
        </w:rPr>
        <w:t xml:space="preserve">”, </w:t>
      </w:r>
      <w:r w:rsidR="00024EBC">
        <w:rPr>
          <w:sz w:val="22"/>
          <w:szCs w:val="22"/>
        </w:rPr>
        <w:t xml:space="preserve">RM-176-2021-MINEDU Norma </w:t>
      </w:r>
      <w:r w:rsidR="00115C43">
        <w:rPr>
          <w:sz w:val="22"/>
          <w:szCs w:val="22"/>
        </w:rPr>
        <w:t>Técnica Orientaciones para la organización y funcionamiento de las Direcciones regionales de Educación</w:t>
      </w:r>
      <w:r w:rsidR="00DB209F">
        <w:rPr>
          <w:sz w:val="22"/>
          <w:szCs w:val="22"/>
        </w:rPr>
        <w:t xml:space="preserve"> </w:t>
      </w:r>
      <w:r w:rsidR="00115C43">
        <w:rPr>
          <w:sz w:val="22"/>
          <w:szCs w:val="22"/>
        </w:rPr>
        <w:t>(DRE) Y Unidades de Gestión Educativa Local</w:t>
      </w:r>
      <w:r w:rsidR="00DB209F">
        <w:rPr>
          <w:sz w:val="22"/>
          <w:szCs w:val="22"/>
        </w:rPr>
        <w:t xml:space="preserve"> </w:t>
      </w:r>
      <w:r w:rsidR="00115C43">
        <w:rPr>
          <w:sz w:val="22"/>
          <w:szCs w:val="22"/>
        </w:rPr>
        <w:t>(UGEL)</w:t>
      </w:r>
    </w:p>
    <w:p w14:paraId="47B7C9E6" w14:textId="77777777" w:rsidR="00FB43B2" w:rsidRDefault="00FB43B2" w:rsidP="00FB43B2">
      <w:pPr>
        <w:ind w:firstLine="4395"/>
        <w:jc w:val="both"/>
        <w:rPr>
          <w:b/>
          <w:bCs/>
          <w:sz w:val="22"/>
          <w:szCs w:val="22"/>
        </w:rPr>
      </w:pPr>
      <w:r w:rsidRPr="00B1202F">
        <w:rPr>
          <w:b/>
          <w:bCs/>
          <w:sz w:val="22"/>
          <w:szCs w:val="22"/>
        </w:rPr>
        <w:t>SE RESUELVE:</w:t>
      </w:r>
    </w:p>
    <w:p w14:paraId="76C34EE3" w14:textId="77777777" w:rsidR="002E50FC" w:rsidRPr="00B1202F" w:rsidRDefault="002E50FC" w:rsidP="00FB43B2">
      <w:pPr>
        <w:ind w:firstLine="4395"/>
        <w:jc w:val="both"/>
        <w:rPr>
          <w:b/>
          <w:bCs/>
          <w:sz w:val="22"/>
          <w:szCs w:val="22"/>
        </w:rPr>
      </w:pPr>
    </w:p>
    <w:p w14:paraId="7F193FA0" w14:textId="4DE514CD" w:rsidR="00FB43B2" w:rsidRDefault="00FB43B2" w:rsidP="00FB43B2">
      <w:pPr>
        <w:ind w:firstLine="4395"/>
        <w:jc w:val="both"/>
        <w:rPr>
          <w:sz w:val="22"/>
          <w:szCs w:val="22"/>
        </w:rPr>
      </w:pPr>
      <w:r w:rsidRPr="00115C43">
        <w:rPr>
          <w:b/>
          <w:bCs/>
          <w:sz w:val="22"/>
          <w:szCs w:val="22"/>
        </w:rPr>
        <w:t>ARTÍCULO 1</w:t>
      </w:r>
      <w:proofErr w:type="gramStart"/>
      <w:r w:rsidRPr="00115C43">
        <w:rPr>
          <w:b/>
          <w:bCs/>
          <w:sz w:val="22"/>
          <w:szCs w:val="22"/>
        </w:rPr>
        <w:t>°.-</w:t>
      </w:r>
      <w:proofErr w:type="gramEnd"/>
      <w:r w:rsidRPr="00115C43">
        <w:rPr>
          <w:b/>
          <w:bCs/>
          <w:sz w:val="22"/>
          <w:szCs w:val="22"/>
        </w:rPr>
        <w:t xml:space="preserve"> CONFORMAR</w:t>
      </w:r>
      <w:r w:rsidRPr="00FB43B2">
        <w:rPr>
          <w:sz w:val="22"/>
          <w:szCs w:val="22"/>
        </w:rPr>
        <w:t>, la comisión de Inventarios para el ejercicio fiscal 202</w:t>
      </w:r>
      <w:r w:rsidR="00037205">
        <w:rPr>
          <w:sz w:val="22"/>
          <w:szCs w:val="22"/>
        </w:rPr>
        <w:t>3</w:t>
      </w:r>
      <w:r w:rsidRPr="00FB43B2">
        <w:rPr>
          <w:sz w:val="22"/>
          <w:szCs w:val="22"/>
        </w:rPr>
        <w:t xml:space="preserve"> de la </w:t>
      </w:r>
      <w:r w:rsidR="00DB209F">
        <w:rPr>
          <w:sz w:val="22"/>
          <w:szCs w:val="22"/>
        </w:rPr>
        <w:t xml:space="preserve">I.E. </w:t>
      </w:r>
      <w:r w:rsidR="009758A8" w:rsidRPr="009758A8">
        <w:rPr>
          <w:b/>
          <w:color w:val="000000" w:themeColor="text1"/>
          <w:sz w:val="22"/>
          <w:szCs w:val="22"/>
        </w:rPr>
        <w:t>REYNO DE LOS NIÑOS</w:t>
      </w:r>
      <w:r w:rsidRPr="00FB43B2">
        <w:rPr>
          <w:sz w:val="22"/>
          <w:szCs w:val="22"/>
        </w:rPr>
        <w:t xml:space="preserve">, de la Unidad de Gestión Educativa Local </w:t>
      </w:r>
      <w:r w:rsidR="00115C43">
        <w:rPr>
          <w:sz w:val="22"/>
          <w:szCs w:val="22"/>
        </w:rPr>
        <w:t>Arequipa Sur</w:t>
      </w:r>
      <w:r w:rsidRPr="00FB43B2">
        <w:rPr>
          <w:sz w:val="22"/>
          <w:szCs w:val="22"/>
        </w:rPr>
        <w:t>, en la forma</w:t>
      </w:r>
      <w:r w:rsidR="00115C43">
        <w:rPr>
          <w:sz w:val="22"/>
          <w:szCs w:val="22"/>
        </w:rPr>
        <w:t xml:space="preserve"> </w:t>
      </w:r>
      <w:r w:rsidRPr="00FB43B2">
        <w:rPr>
          <w:sz w:val="22"/>
          <w:szCs w:val="22"/>
        </w:rPr>
        <w:t>que a continuación se detalla.</w:t>
      </w:r>
    </w:p>
    <w:p w14:paraId="0EF4823E" w14:textId="55353EBE" w:rsidR="00DB209F" w:rsidRDefault="00DB209F" w:rsidP="00FB43B2">
      <w:pPr>
        <w:ind w:firstLine="4395"/>
        <w:jc w:val="both"/>
        <w:rPr>
          <w:sz w:val="22"/>
          <w:szCs w:val="22"/>
        </w:rPr>
      </w:pPr>
    </w:p>
    <w:p w14:paraId="623CFEDE" w14:textId="2B7BC1AE" w:rsidR="00DB209F" w:rsidRPr="0021228C" w:rsidRDefault="00037205" w:rsidP="00DB209F">
      <w:pPr>
        <w:rPr>
          <w:sz w:val="22"/>
          <w:szCs w:val="22"/>
        </w:rPr>
      </w:pPr>
      <w:r>
        <w:rPr>
          <w:sz w:val="22"/>
          <w:szCs w:val="22"/>
        </w:rPr>
        <w:t>Emmy Patricia Alvarez Vargas</w:t>
      </w:r>
      <w:r w:rsidR="00DB209F" w:rsidRPr="0021228C">
        <w:rPr>
          <w:sz w:val="22"/>
          <w:szCs w:val="22"/>
        </w:rPr>
        <w:tab/>
      </w:r>
      <w:r w:rsidR="00DB209F" w:rsidRPr="0021228C">
        <w:rPr>
          <w:sz w:val="22"/>
          <w:szCs w:val="22"/>
        </w:rPr>
        <w:tab/>
      </w:r>
      <w:r w:rsidR="00DB209F" w:rsidRPr="0021228C">
        <w:rPr>
          <w:sz w:val="22"/>
          <w:szCs w:val="22"/>
        </w:rPr>
        <w:tab/>
      </w:r>
      <w:proofErr w:type="gramStart"/>
      <w:r w:rsidR="00DB209F" w:rsidRPr="0021228C">
        <w:rPr>
          <w:sz w:val="22"/>
          <w:szCs w:val="22"/>
        </w:rPr>
        <w:t>Presidente</w:t>
      </w:r>
      <w:proofErr w:type="gramEnd"/>
    </w:p>
    <w:p w14:paraId="590A6CE1" w14:textId="4F991537" w:rsidR="00DB209F" w:rsidRDefault="0021228C" w:rsidP="00DB209F">
      <w:pPr>
        <w:rPr>
          <w:sz w:val="22"/>
          <w:szCs w:val="22"/>
        </w:rPr>
      </w:pPr>
      <w:r>
        <w:rPr>
          <w:sz w:val="22"/>
          <w:szCs w:val="22"/>
        </w:rPr>
        <w:t>DNI 4</w:t>
      </w:r>
      <w:r w:rsidR="00037205">
        <w:rPr>
          <w:sz w:val="22"/>
          <w:szCs w:val="22"/>
        </w:rPr>
        <w:t>5233927</w:t>
      </w:r>
    </w:p>
    <w:p w14:paraId="6BD69AD3" w14:textId="77777777" w:rsidR="0021228C" w:rsidRPr="0021228C" w:rsidRDefault="0021228C" w:rsidP="00DB209F">
      <w:pPr>
        <w:rPr>
          <w:sz w:val="22"/>
          <w:szCs w:val="22"/>
        </w:rPr>
      </w:pPr>
    </w:p>
    <w:p w14:paraId="7FFFD298" w14:textId="08A35807" w:rsidR="00DB209F" w:rsidRPr="0021228C" w:rsidRDefault="0021228C" w:rsidP="00DB209F">
      <w:pPr>
        <w:rPr>
          <w:sz w:val="22"/>
          <w:szCs w:val="22"/>
        </w:rPr>
      </w:pPr>
      <w:r w:rsidRPr="0021228C">
        <w:rPr>
          <w:sz w:val="22"/>
          <w:szCs w:val="22"/>
        </w:rPr>
        <w:t xml:space="preserve">Magda </w:t>
      </w:r>
      <w:r w:rsidR="002E50FC">
        <w:rPr>
          <w:sz w:val="22"/>
          <w:szCs w:val="22"/>
        </w:rPr>
        <w:t xml:space="preserve">Susana </w:t>
      </w:r>
      <w:r w:rsidRPr="0021228C">
        <w:rPr>
          <w:sz w:val="22"/>
          <w:szCs w:val="22"/>
        </w:rPr>
        <w:t>Totocayo Torres</w:t>
      </w:r>
      <w:r w:rsidR="00DB209F" w:rsidRPr="0021228C">
        <w:rPr>
          <w:sz w:val="22"/>
          <w:szCs w:val="22"/>
        </w:rPr>
        <w:t xml:space="preserve"> </w:t>
      </w:r>
      <w:r w:rsidR="00DB209F" w:rsidRPr="00DB209F">
        <w:rPr>
          <w:color w:val="FF0000"/>
          <w:sz w:val="22"/>
          <w:szCs w:val="22"/>
        </w:rPr>
        <w:tab/>
      </w:r>
      <w:r w:rsidR="00DB209F" w:rsidRPr="00DB209F">
        <w:rPr>
          <w:color w:val="FF0000"/>
          <w:sz w:val="22"/>
          <w:szCs w:val="22"/>
        </w:rPr>
        <w:tab/>
      </w:r>
      <w:r w:rsidR="00DB209F" w:rsidRPr="00DB209F">
        <w:rPr>
          <w:color w:val="FF0000"/>
          <w:sz w:val="22"/>
          <w:szCs w:val="22"/>
        </w:rPr>
        <w:tab/>
      </w:r>
      <w:r w:rsidR="00DB209F" w:rsidRPr="0021228C">
        <w:rPr>
          <w:sz w:val="22"/>
          <w:szCs w:val="22"/>
        </w:rPr>
        <w:t>Integrante</w:t>
      </w:r>
    </w:p>
    <w:p w14:paraId="143F0FC7" w14:textId="41B645DF" w:rsidR="00DB209F" w:rsidRPr="0021228C" w:rsidRDefault="002E50FC" w:rsidP="00DB209F">
      <w:pPr>
        <w:rPr>
          <w:sz w:val="22"/>
          <w:szCs w:val="22"/>
        </w:rPr>
      </w:pPr>
      <w:r>
        <w:rPr>
          <w:sz w:val="22"/>
          <w:szCs w:val="22"/>
        </w:rPr>
        <w:t>DNI 48182169</w:t>
      </w:r>
    </w:p>
    <w:p w14:paraId="29DC7FB5" w14:textId="77777777" w:rsidR="00115C43" w:rsidRPr="00FB43B2" w:rsidRDefault="00115C43" w:rsidP="00FB43B2">
      <w:pPr>
        <w:ind w:firstLine="4395"/>
        <w:jc w:val="both"/>
        <w:rPr>
          <w:sz w:val="22"/>
          <w:szCs w:val="22"/>
        </w:rPr>
      </w:pPr>
    </w:p>
    <w:p w14:paraId="7D74BA1D" w14:textId="77777777" w:rsidR="002E50FC" w:rsidRDefault="002E50FC" w:rsidP="00FB43B2">
      <w:pPr>
        <w:ind w:firstLine="4395"/>
        <w:jc w:val="both"/>
        <w:rPr>
          <w:b/>
          <w:bCs/>
          <w:sz w:val="22"/>
          <w:szCs w:val="22"/>
        </w:rPr>
      </w:pPr>
    </w:p>
    <w:p w14:paraId="0214E5DF" w14:textId="77777777" w:rsidR="002E50FC" w:rsidRDefault="002E50FC" w:rsidP="00FB43B2">
      <w:pPr>
        <w:ind w:firstLine="4395"/>
        <w:jc w:val="both"/>
        <w:rPr>
          <w:b/>
          <w:bCs/>
          <w:sz w:val="22"/>
          <w:szCs w:val="22"/>
        </w:rPr>
      </w:pPr>
    </w:p>
    <w:p w14:paraId="63B79429" w14:textId="4E991AE0" w:rsidR="00FB43B2" w:rsidRPr="00FB43B2" w:rsidRDefault="00FB43B2" w:rsidP="00FB43B2">
      <w:pPr>
        <w:ind w:firstLine="4395"/>
        <w:jc w:val="both"/>
        <w:rPr>
          <w:sz w:val="22"/>
          <w:szCs w:val="22"/>
        </w:rPr>
      </w:pPr>
      <w:r w:rsidRPr="00115C43">
        <w:rPr>
          <w:b/>
          <w:bCs/>
          <w:sz w:val="22"/>
          <w:szCs w:val="22"/>
        </w:rPr>
        <w:lastRenderedPageBreak/>
        <w:t>ARTÍCULO 2°.- AUTORIZAR</w:t>
      </w:r>
      <w:r w:rsidRPr="00FB43B2">
        <w:rPr>
          <w:sz w:val="22"/>
          <w:szCs w:val="22"/>
        </w:rPr>
        <w:t>, a la Comisión de Inventario la verificación física de todos los ambientes y bienes existentes en la I.E, facilitar el material y documentación</w:t>
      </w:r>
      <w:r w:rsidR="00115C43">
        <w:rPr>
          <w:sz w:val="22"/>
          <w:szCs w:val="22"/>
        </w:rPr>
        <w:t xml:space="preserve"> </w:t>
      </w:r>
      <w:r w:rsidRPr="00FB43B2">
        <w:rPr>
          <w:sz w:val="22"/>
          <w:szCs w:val="22"/>
        </w:rPr>
        <w:t>necesaria para la toma de inventario físico valorizado en los formatos remitidos por la UGEL A.S.</w:t>
      </w:r>
    </w:p>
    <w:p w14:paraId="04CDF995" w14:textId="401AB72C" w:rsidR="00FB43B2" w:rsidRPr="00FB43B2" w:rsidRDefault="00FB43B2" w:rsidP="00FB43B2">
      <w:pPr>
        <w:ind w:firstLine="4395"/>
        <w:jc w:val="both"/>
        <w:rPr>
          <w:sz w:val="22"/>
          <w:szCs w:val="22"/>
        </w:rPr>
      </w:pPr>
      <w:r w:rsidRPr="00115C43">
        <w:rPr>
          <w:b/>
          <w:bCs/>
          <w:sz w:val="22"/>
          <w:szCs w:val="22"/>
        </w:rPr>
        <w:t>ARTÍCULO 3</w:t>
      </w:r>
      <w:proofErr w:type="gramStart"/>
      <w:r w:rsidRPr="00115C43">
        <w:rPr>
          <w:b/>
          <w:bCs/>
          <w:sz w:val="22"/>
          <w:szCs w:val="22"/>
        </w:rPr>
        <w:t>°.-</w:t>
      </w:r>
      <w:proofErr w:type="gramEnd"/>
      <w:r w:rsidRPr="00115C43">
        <w:rPr>
          <w:b/>
          <w:bCs/>
          <w:sz w:val="22"/>
          <w:szCs w:val="22"/>
        </w:rPr>
        <w:t xml:space="preserve"> NOTIFÍQUESE</w:t>
      </w:r>
      <w:r w:rsidRPr="00FB43B2">
        <w:rPr>
          <w:sz w:val="22"/>
          <w:szCs w:val="22"/>
        </w:rPr>
        <w:t>, copia la presente Resolución a la parte interesada y demás instancias administrativas correspondientes, cada uno de los miembros de la</w:t>
      </w:r>
      <w:r w:rsidR="00115C43">
        <w:rPr>
          <w:sz w:val="22"/>
          <w:szCs w:val="22"/>
        </w:rPr>
        <w:t xml:space="preserve"> </w:t>
      </w:r>
      <w:r w:rsidRPr="00FB43B2">
        <w:rPr>
          <w:sz w:val="22"/>
          <w:szCs w:val="22"/>
        </w:rPr>
        <w:t>comisión de la Toma de Inventario Físico valorizad</w:t>
      </w:r>
      <w:r w:rsidR="002E50FC">
        <w:rPr>
          <w:sz w:val="22"/>
          <w:szCs w:val="22"/>
        </w:rPr>
        <w:t>o 202</w:t>
      </w:r>
      <w:r w:rsidR="00037205">
        <w:rPr>
          <w:sz w:val="22"/>
          <w:szCs w:val="22"/>
        </w:rPr>
        <w:t>3</w:t>
      </w:r>
      <w:r w:rsidR="002E50FC">
        <w:rPr>
          <w:sz w:val="22"/>
          <w:szCs w:val="22"/>
        </w:rPr>
        <w:t xml:space="preserve"> de la I.E. REYNO DE LOS NIÑOS</w:t>
      </w:r>
      <w:r w:rsidRPr="00FB43B2">
        <w:rPr>
          <w:sz w:val="22"/>
          <w:szCs w:val="22"/>
        </w:rPr>
        <w:t>, y a los órganos correspondientes de la Unidad de Gestión Educativa Local Arequipa Sur.</w:t>
      </w:r>
    </w:p>
    <w:p w14:paraId="45FC88EC" w14:textId="68D28672" w:rsidR="00FB43B2" w:rsidRDefault="00FB43B2" w:rsidP="00FB43B2">
      <w:pPr>
        <w:ind w:firstLine="4395"/>
        <w:jc w:val="both"/>
        <w:rPr>
          <w:sz w:val="22"/>
          <w:szCs w:val="22"/>
        </w:rPr>
      </w:pPr>
      <w:r w:rsidRPr="00DB209F">
        <w:rPr>
          <w:b/>
          <w:bCs/>
          <w:sz w:val="22"/>
          <w:szCs w:val="22"/>
        </w:rPr>
        <w:t>ARTÍCULO 4</w:t>
      </w:r>
      <w:proofErr w:type="gramStart"/>
      <w:r w:rsidRPr="00DB209F">
        <w:rPr>
          <w:b/>
          <w:bCs/>
          <w:sz w:val="22"/>
          <w:szCs w:val="22"/>
        </w:rPr>
        <w:t>°.-</w:t>
      </w:r>
      <w:proofErr w:type="gramEnd"/>
      <w:r w:rsidRPr="00DB209F">
        <w:rPr>
          <w:b/>
          <w:bCs/>
          <w:sz w:val="22"/>
          <w:szCs w:val="22"/>
        </w:rPr>
        <w:t xml:space="preserve"> DISPONER,</w:t>
      </w:r>
      <w:r w:rsidRPr="00FB43B2">
        <w:rPr>
          <w:sz w:val="22"/>
          <w:szCs w:val="22"/>
        </w:rPr>
        <w:t xml:space="preserve"> que una vez concluida la constatación física contable, la comisión de inventarios deberá emitir el informe final según datos contenidos de los</w:t>
      </w:r>
      <w:r w:rsidR="00DB209F">
        <w:rPr>
          <w:sz w:val="22"/>
          <w:szCs w:val="22"/>
        </w:rPr>
        <w:t xml:space="preserve"> </w:t>
      </w:r>
      <w:r w:rsidRPr="00FB43B2">
        <w:rPr>
          <w:sz w:val="22"/>
          <w:szCs w:val="22"/>
        </w:rPr>
        <w:t>anexos del INSTRUCTIVO Nº 001 – 202</w:t>
      </w:r>
      <w:r w:rsidR="00037205">
        <w:rPr>
          <w:sz w:val="22"/>
          <w:szCs w:val="22"/>
        </w:rPr>
        <w:t>3</w:t>
      </w:r>
      <w:r w:rsidRPr="00FB43B2">
        <w:rPr>
          <w:sz w:val="22"/>
          <w:szCs w:val="22"/>
        </w:rPr>
        <w:t xml:space="preserve">- UGEL. AS-DAGAD-CP </w:t>
      </w:r>
    </w:p>
    <w:p w14:paraId="1B9B0A2B" w14:textId="77777777" w:rsidR="00DB209F" w:rsidRPr="00FB43B2" w:rsidRDefault="00DB209F" w:rsidP="00FB43B2">
      <w:pPr>
        <w:ind w:firstLine="4395"/>
        <w:jc w:val="both"/>
        <w:rPr>
          <w:sz w:val="22"/>
          <w:szCs w:val="22"/>
        </w:rPr>
      </w:pPr>
    </w:p>
    <w:p w14:paraId="18159B93" w14:textId="77777777" w:rsidR="00037205" w:rsidRDefault="00163A16" w:rsidP="00FB43B2">
      <w:pPr>
        <w:ind w:firstLine="439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14:paraId="22AACD6F" w14:textId="77777777" w:rsidR="00037205" w:rsidRDefault="00037205" w:rsidP="00FB43B2">
      <w:pPr>
        <w:ind w:firstLine="4395"/>
        <w:jc w:val="both"/>
        <w:rPr>
          <w:sz w:val="22"/>
          <w:szCs w:val="22"/>
        </w:rPr>
      </w:pPr>
    </w:p>
    <w:p w14:paraId="6101C2DD" w14:textId="0FFE1CFD" w:rsidR="00DB209F" w:rsidRDefault="00163A16" w:rsidP="00FB43B2">
      <w:pPr>
        <w:ind w:firstLine="439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B43B2" w:rsidRPr="00FB43B2">
        <w:rPr>
          <w:sz w:val="22"/>
          <w:szCs w:val="22"/>
        </w:rPr>
        <w:t>Regístrese y Comuníquese;</w:t>
      </w:r>
    </w:p>
    <w:p w14:paraId="5613D1CC" w14:textId="77777777" w:rsidR="00163A16" w:rsidRDefault="00163A16" w:rsidP="00FB43B2">
      <w:pPr>
        <w:ind w:firstLine="4395"/>
        <w:jc w:val="both"/>
        <w:rPr>
          <w:sz w:val="22"/>
          <w:szCs w:val="22"/>
        </w:rPr>
      </w:pPr>
    </w:p>
    <w:p w14:paraId="516474AC" w14:textId="77777777" w:rsidR="00163A16" w:rsidRDefault="00163A16" w:rsidP="00FB43B2">
      <w:pPr>
        <w:ind w:firstLine="4395"/>
        <w:jc w:val="both"/>
        <w:rPr>
          <w:sz w:val="22"/>
          <w:szCs w:val="22"/>
        </w:rPr>
      </w:pPr>
    </w:p>
    <w:p w14:paraId="15DCC41A" w14:textId="77777777" w:rsidR="00163A16" w:rsidRDefault="00163A16" w:rsidP="00FB43B2">
      <w:pPr>
        <w:ind w:firstLine="4395"/>
        <w:jc w:val="both"/>
        <w:rPr>
          <w:sz w:val="22"/>
          <w:szCs w:val="22"/>
        </w:rPr>
      </w:pPr>
    </w:p>
    <w:p w14:paraId="515BD636" w14:textId="77777777" w:rsidR="00163A16" w:rsidRDefault="00163A16" w:rsidP="00FB43B2">
      <w:pPr>
        <w:ind w:firstLine="4395"/>
        <w:jc w:val="both"/>
        <w:rPr>
          <w:sz w:val="22"/>
          <w:szCs w:val="22"/>
        </w:rPr>
      </w:pPr>
    </w:p>
    <w:p w14:paraId="4B35BB5F" w14:textId="77777777" w:rsidR="00163A16" w:rsidRDefault="00163A16" w:rsidP="00FB43B2">
      <w:pPr>
        <w:ind w:firstLine="4395"/>
        <w:jc w:val="both"/>
        <w:rPr>
          <w:sz w:val="22"/>
          <w:szCs w:val="22"/>
        </w:rPr>
      </w:pPr>
    </w:p>
    <w:p w14:paraId="718827B7" w14:textId="6F7CB7A0" w:rsidR="00E17C24" w:rsidRPr="009758A8" w:rsidRDefault="00163A16" w:rsidP="00163A16">
      <w:pPr>
        <w:jc w:val="center"/>
        <w:rPr>
          <w:sz w:val="22"/>
          <w:szCs w:val="22"/>
        </w:rPr>
      </w:pPr>
      <w:r>
        <w:rPr>
          <w:rFonts w:ascii="Arial Narrow" w:eastAsia="Arial Narrow" w:hAnsi="Arial Narrow" w:cs="Arial Narrow"/>
          <w:noProof/>
          <w:color w:val="000000"/>
          <w:sz w:val="22"/>
          <w:szCs w:val="22"/>
          <w:lang w:val="es-PE" w:eastAsia="es-PE"/>
        </w:rPr>
        <w:t xml:space="preserve">                                                                               </w:t>
      </w:r>
    </w:p>
    <w:sectPr w:rsidR="00E17C24" w:rsidRPr="009758A8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FBCF4" w14:textId="77777777" w:rsidR="005B2006" w:rsidRDefault="005B2006">
      <w:r>
        <w:separator/>
      </w:r>
    </w:p>
  </w:endnote>
  <w:endnote w:type="continuationSeparator" w:id="0">
    <w:p w14:paraId="71C252F9" w14:textId="77777777" w:rsidR="005B2006" w:rsidRDefault="005B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48EC" w14:textId="77777777" w:rsidR="005B2006" w:rsidRDefault="005B2006">
      <w:r>
        <w:separator/>
      </w:r>
    </w:p>
  </w:footnote>
  <w:footnote w:type="continuationSeparator" w:id="0">
    <w:p w14:paraId="3E9271DC" w14:textId="77777777" w:rsidR="005B2006" w:rsidRDefault="005B2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4260" w14:textId="515AA3CB" w:rsidR="00E17C24" w:rsidRPr="00C7711D" w:rsidRDefault="00C7711D" w:rsidP="00C7711D">
    <w:pPr>
      <w:pStyle w:val="Encabezado"/>
      <w:jc w:val="center"/>
      <w:rPr>
        <w:sz w:val="22"/>
        <w:szCs w:val="22"/>
      </w:rPr>
    </w:pPr>
    <w:r w:rsidRPr="00C7711D">
      <w:rPr>
        <w:color w:val="202124"/>
        <w:sz w:val="22"/>
        <w:szCs w:val="22"/>
        <w:shd w:val="clear" w:color="auto" w:fill="FFFFFF"/>
      </w:rPr>
      <w:t>"</w:t>
    </w:r>
    <w:r w:rsidRPr="00C7711D">
      <w:rPr>
        <w:b/>
        <w:bCs/>
        <w:color w:val="202124"/>
        <w:sz w:val="22"/>
        <w:szCs w:val="22"/>
        <w:shd w:val="clear" w:color="auto" w:fill="FFFFFF"/>
      </w:rPr>
      <w:t xml:space="preserve">AÑO </w:t>
    </w:r>
    <w:r w:rsidR="00037205">
      <w:rPr>
        <w:b/>
        <w:bCs/>
        <w:color w:val="202124"/>
        <w:sz w:val="22"/>
        <w:szCs w:val="22"/>
        <w:shd w:val="clear" w:color="auto" w:fill="FFFFFF"/>
      </w:rPr>
      <w:t>DE LA UNIDAD, LA PAZ Y EL DESARROLLO</w:t>
    </w:r>
    <w:r w:rsidRPr="00C7711D">
      <w:rPr>
        <w:color w:val="202124"/>
        <w:sz w:val="22"/>
        <w:szCs w:val="22"/>
        <w:shd w:val="clear" w:color="auto" w:fill="FFFFFF"/>
      </w:rPr>
      <w:t>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45A8C"/>
    <w:multiLevelType w:val="multilevel"/>
    <w:tmpl w:val="D9F4E03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12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24"/>
    <w:rsid w:val="00024EBC"/>
    <w:rsid w:val="00037205"/>
    <w:rsid w:val="00115C43"/>
    <w:rsid w:val="0015352A"/>
    <w:rsid w:val="00163A16"/>
    <w:rsid w:val="0021228C"/>
    <w:rsid w:val="002E50FC"/>
    <w:rsid w:val="003139CB"/>
    <w:rsid w:val="00336F0E"/>
    <w:rsid w:val="004D002C"/>
    <w:rsid w:val="004F728B"/>
    <w:rsid w:val="005B2006"/>
    <w:rsid w:val="00640A4C"/>
    <w:rsid w:val="00715D7E"/>
    <w:rsid w:val="009758A8"/>
    <w:rsid w:val="00AA7521"/>
    <w:rsid w:val="00B1202F"/>
    <w:rsid w:val="00BB6F70"/>
    <w:rsid w:val="00C274CC"/>
    <w:rsid w:val="00C7711D"/>
    <w:rsid w:val="00CF1F95"/>
    <w:rsid w:val="00DB209F"/>
    <w:rsid w:val="00DE11A5"/>
    <w:rsid w:val="00E17C24"/>
    <w:rsid w:val="00EC36D2"/>
    <w:rsid w:val="00FB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839FE"/>
  <w15:docId w15:val="{6C027CF6-958E-41D1-99E8-3C65C452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387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22387"/>
    <w:pPr>
      <w:keepNext/>
      <w:outlineLvl w:val="0"/>
    </w:pPr>
    <w:rPr>
      <w:sz w:val="20"/>
      <w:szCs w:val="20"/>
      <w:u w:val="single"/>
      <w:lang w:val="es-ES_tradnl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022387"/>
    <w:rPr>
      <w:rFonts w:ascii="Times New Roman" w:eastAsia="Times New Roman" w:hAnsi="Times New Roman" w:cs="Times New Roman"/>
      <w:sz w:val="20"/>
      <w:szCs w:val="20"/>
      <w:u w:val="single"/>
      <w:lang w:val="es-ES_tradnl" w:eastAsia="es-ES"/>
    </w:rPr>
  </w:style>
  <w:style w:type="paragraph" w:styleId="Encabezado">
    <w:name w:val="header"/>
    <w:basedOn w:val="Normal"/>
    <w:link w:val="EncabezadoCar"/>
    <w:rsid w:val="00022387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02238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0223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18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0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067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7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bRlujF8CUqec/9U3APF4vWc2lw==">AMUW2mV8bkirOXtVa8baW4CfpYyetfUnjqODctv4b0i7aL1Q6VChw0Y1XPlbE2HAHvjDKdo16/yDWtbqK8O/pAYWLRnyHxk+s6X4+h1rswkREbPQNLXNC+I=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</dc:creator>
  <cp:lastModifiedBy>EMMY PATRICIA ALVAREZ VARGAS</cp:lastModifiedBy>
  <cp:revision>2</cp:revision>
  <cp:lastPrinted>2023-04-24T21:41:00Z</cp:lastPrinted>
  <dcterms:created xsi:type="dcterms:W3CDTF">2023-04-24T21:42:00Z</dcterms:created>
  <dcterms:modified xsi:type="dcterms:W3CDTF">2023-04-24T21:42:00Z</dcterms:modified>
</cp:coreProperties>
</file>