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D1C6" w14:textId="77777777" w:rsidR="00B40BD0" w:rsidRPr="00B40BD0" w:rsidRDefault="00B40BD0" w:rsidP="00B40BD0">
      <w:pPr>
        <w:pStyle w:val="Ttulo"/>
        <w:spacing w:line="242" w:lineRule="auto"/>
        <w:jc w:val="center"/>
        <w:rPr>
          <w:sz w:val="40"/>
          <w:szCs w:val="40"/>
        </w:rPr>
      </w:pPr>
      <w:r w:rsidRPr="00B40BD0">
        <w:rPr>
          <w:sz w:val="40"/>
          <w:szCs w:val="40"/>
        </w:rPr>
        <w:t>Pipelines de Datos en Tiempo Real (</w:t>
      </w:r>
      <w:proofErr w:type="spellStart"/>
      <w:r w:rsidRPr="00B40BD0">
        <w:rPr>
          <w:sz w:val="40"/>
          <w:szCs w:val="40"/>
        </w:rPr>
        <w:t>Streaming</w:t>
      </w:r>
      <w:proofErr w:type="spellEnd"/>
      <w:r w:rsidRPr="00B40BD0">
        <w:rPr>
          <w:sz w:val="40"/>
          <w:szCs w:val="40"/>
        </w:rPr>
        <w:t xml:space="preserve"> Data Pipelines)</w:t>
      </w:r>
    </w:p>
    <w:p w14:paraId="6A7D79F6" w14:textId="77777777" w:rsidR="00B40BD0" w:rsidRDefault="00B40BD0" w:rsidP="00B40BD0">
      <w:pPr>
        <w:spacing w:before="80" w:after="40"/>
        <w:jc w:val="center"/>
      </w:pPr>
      <w:r>
        <w:t xml:space="preserve">Rodrigo </w:t>
      </w:r>
      <w:proofErr w:type="spellStart"/>
      <w:r>
        <w:t>Sebastian</w:t>
      </w:r>
      <w:proofErr w:type="spellEnd"/>
      <w:r>
        <w:t xml:space="preserve"> Seraquive Avila</w:t>
      </w:r>
    </w:p>
    <w:p w14:paraId="6ABCB4D2" w14:textId="77777777" w:rsidR="00B40BD0" w:rsidRDefault="00B40BD0" w:rsidP="00B40BD0">
      <w:pPr>
        <w:spacing w:before="20" w:after="20"/>
        <w:jc w:val="center"/>
      </w:pPr>
      <w:r>
        <w:rPr>
          <w:i/>
          <w:iCs/>
        </w:rPr>
        <w:t>Facultad de Ingenierías y Arquitectura</w:t>
      </w:r>
    </w:p>
    <w:p w14:paraId="6471D00D" w14:textId="77777777" w:rsidR="00B40BD0" w:rsidRDefault="00B40BD0" w:rsidP="00B40BD0">
      <w:pPr>
        <w:spacing w:before="20" w:after="20"/>
        <w:jc w:val="center"/>
      </w:pPr>
      <w:r>
        <w:rPr>
          <w:i/>
          <w:iCs/>
        </w:rPr>
        <w:t>Universidad Técnica Particular de Loja (UTPL)</w:t>
      </w:r>
    </w:p>
    <w:p w14:paraId="7D4774E9" w14:textId="77777777" w:rsidR="00B40BD0" w:rsidRDefault="00B40BD0" w:rsidP="00B40BD0">
      <w:pPr>
        <w:spacing w:before="20" w:after="20"/>
        <w:jc w:val="center"/>
      </w:pPr>
      <w:r>
        <w:rPr>
          <w:i/>
          <w:iCs/>
        </w:rPr>
        <w:t xml:space="preserve">Ingeniería en Ciencias de la Computación — 4to Ciclo, </w:t>
      </w:r>
      <w:proofErr w:type="spellStart"/>
      <w:r>
        <w:rPr>
          <w:i/>
          <w:iCs/>
        </w:rPr>
        <w:t>Practicum</w:t>
      </w:r>
      <w:proofErr w:type="spellEnd"/>
      <w:r>
        <w:rPr>
          <w:i/>
          <w:iCs/>
        </w:rPr>
        <w:t xml:space="preserve"> 1.2</w:t>
      </w:r>
    </w:p>
    <w:p w14:paraId="395D07F4" w14:textId="77777777" w:rsidR="00B40BD0" w:rsidRDefault="00B40BD0" w:rsidP="00B40BD0">
      <w:pPr>
        <w:spacing w:before="20" w:after="20"/>
        <w:jc w:val="center"/>
      </w:pPr>
      <w:r>
        <w:rPr>
          <w:i/>
          <w:iCs/>
        </w:rPr>
        <w:t xml:space="preserve">Docente: Ing. </w:t>
      </w:r>
      <w:r w:rsidRPr="000B53FC">
        <w:rPr>
          <w:i/>
          <w:iCs/>
        </w:rPr>
        <w:t>Francisco Vargas</w:t>
      </w:r>
    </w:p>
    <w:p w14:paraId="4106F87A" w14:textId="77777777" w:rsidR="00B40BD0" w:rsidRDefault="00B40BD0" w:rsidP="00B40BD0">
      <w:pPr>
        <w:spacing w:before="20" w:after="120"/>
        <w:jc w:val="center"/>
        <w:rPr>
          <w:i/>
          <w:iCs/>
        </w:rPr>
      </w:pPr>
      <w:r>
        <w:rPr>
          <w:i/>
          <w:iCs/>
        </w:rPr>
        <w:t>Loja, Ecuador</w:t>
      </w:r>
    </w:p>
    <w:p w14:paraId="335E7AB0" w14:textId="77777777" w:rsidR="00E373C8" w:rsidRDefault="00C808E5">
      <w:pPr>
        <w:spacing w:after="40"/>
        <w:jc w:val="both"/>
      </w:pPr>
      <w:r>
        <w:rPr>
          <w:b/>
          <w:bCs/>
          <w:i/>
          <w:iCs/>
          <w:sz w:val="18"/>
          <w:szCs w:val="18"/>
        </w:rPr>
        <w:t>Resumen—</w:t>
      </w:r>
      <w:r>
        <w:rPr>
          <w:i/>
          <w:iCs/>
          <w:sz w:val="18"/>
          <w:szCs w:val="18"/>
        </w:rPr>
        <w:t xml:space="preserve">El presente artículo desarrolla una revisión crítica del estado del arte sobre la infraestructura unificada de datos, entendida como la integración de tres pilares complementarios: la Ingeniería de Datos, la Analítica de Datos y la Visualización de Información. Se examina la arquitectura Medallón (Bronze-Silver-Gold) como patrón de refinamiento progresivo, la transición del paradigma ETL hacia ELT impulsada por el cómputo elástico en la nube, y la convergencia entre Data </w:t>
      </w:r>
      <w:proofErr w:type="spellStart"/>
      <w:r>
        <w:rPr>
          <w:i/>
          <w:iCs/>
          <w:sz w:val="18"/>
          <w:szCs w:val="18"/>
        </w:rPr>
        <w:t>Warehouses</w:t>
      </w:r>
      <w:proofErr w:type="spellEnd"/>
      <w:r>
        <w:rPr>
          <w:i/>
          <w:iCs/>
          <w:sz w:val="18"/>
          <w:szCs w:val="18"/>
        </w:rPr>
        <w:t xml:space="preserve"> y Data Lakes en el modelo</w:t>
      </w:r>
      <w:r>
        <w:rPr>
          <w:i/>
          <w:iCs/>
          <w:sz w:val="18"/>
          <w:szCs w:val="18"/>
        </w:rPr>
        <w:t xml:space="preserve"> híbrido Data </w:t>
      </w:r>
      <w:proofErr w:type="spellStart"/>
      <w:r>
        <w:rPr>
          <w:i/>
          <w:iCs/>
          <w:sz w:val="18"/>
          <w:szCs w:val="18"/>
        </w:rPr>
        <w:t>Lakehouse</w:t>
      </w:r>
      <w:proofErr w:type="spellEnd"/>
      <w:r>
        <w:rPr>
          <w:i/>
          <w:iCs/>
          <w:sz w:val="18"/>
          <w:szCs w:val="18"/>
        </w:rPr>
        <w:t>. Asimismo, se analiza el modelado dimensional de Kimball, la taxonomía evolutiva de la analítica (descriptiva, diagnóstica, predictiva y prescriptiva) y los principios cognitivos que sustentan la visualización efectiva de datos. El documento cierra con una matriz comparativa de herramientas del ecosistema y una prospectiva tecnológica para el periodo 2025-2030, resaltando la creciente automatización impulsada por inteligencia artificial y la descentralización propuesta por el paradig</w:t>
      </w:r>
      <w:r>
        <w:rPr>
          <w:i/>
          <w:iCs/>
          <w:sz w:val="18"/>
          <w:szCs w:val="18"/>
        </w:rPr>
        <w:t>ma Data Mesh.</w:t>
      </w:r>
    </w:p>
    <w:p w14:paraId="4A9590B9" w14:textId="77777777" w:rsidR="00E373C8" w:rsidRDefault="00C808E5">
      <w:pPr>
        <w:spacing w:after="100"/>
        <w:jc w:val="both"/>
      </w:pPr>
      <w:proofErr w:type="spellStart"/>
      <w:r>
        <w:rPr>
          <w:b/>
          <w:bCs/>
          <w:i/>
          <w:iCs/>
          <w:sz w:val="18"/>
          <w:szCs w:val="18"/>
        </w:rPr>
        <w:t>Index</w:t>
      </w:r>
      <w:proofErr w:type="spellEnd"/>
      <w:r>
        <w:rPr>
          <w:b/>
          <w:bCs/>
          <w:i/>
          <w:iCs/>
          <w:sz w:val="18"/>
          <w:szCs w:val="18"/>
        </w:rPr>
        <w:t xml:space="preserve"> </w:t>
      </w:r>
      <w:proofErr w:type="spellStart"/>
      <w:r>
        <w:rPr>
          <w:b/>
          <w:bCs/>
          <w:i/>
          <w:iCs/>
          <w:sz w:val="18"/>
          <w:szCs w:val="18"/>
        </w:rPr>
        <w:t>Terms</w:t>
      </w:r>
      <w:proofErr w:type="spellEnd"/>
      <w:r>
        <w:rPr>
          <w:b/>
          <w:bCs/>
          <w:i/>
          <w:iCs/>
          <w:sz w:val="18"/>
          <w:szCs w:val="18"/>
        </w:rPr>
        <w:t>—</w:t>
      </w:r>
      <w:r>
        <w:rPr>
          <w:i/>
          <w:iCs/>
          <w:sz w:val="18"/>
          <w:szCs w:val="18"/>
        </w:rPr>
        <w:t xml:space="preserve">Ingeniería de Datos, Arquitectura Medallón, Data </w:t>
      </w:r>
      <w:proofErr w:type="spellStart"/>
      <w:r>
        <w:rPr>
          <w:i/>
          <w:iCs/>
          <w:sz w:val="18"/>
          <w:szCs w:val="18"/>
        </w:rPr>
        <w:t>Lakehouse</w:t>
      </w:r>
      <w:proofErr w:type="spellEnd"/>
      <w:r>
        <w:rPr>
          <w:i/>
          <w:iCs/>
          <w:sz w:val="18"/>
          <w:szCs w:val="18"/>
        </w:rPr>
        <w:t xml:space="preserve">, Modelado Dimensional, Analítica de Datos, Visualización de Información, Business </w:t>
      </w:r>
      <w:proofErr w:type="spellStart"/>
      <w:r>
        <w:rPr>
          <w:i/>
          <w:iCs/>
          <w:sz w:val="18"/>
          <w:szCs w:val="18"/>
        </w:rPr>
        <w:t>Intelligence</w:t>
      </w:r>
      <w:proofErr w:type="spellEnd"/>
      <w:r>
        <w:rPr>
          <w:i/>
          <w:iCs/>
          <w:sz w:val="18"/>
          <w:szCs w:val="18"/>
        </w:rPr>
        <w:t>, Data Mesh.</w:t>
      </w:r>
    </w:p>
    <w:p w14:paraId="66DDE5EE" w14:textId="77777777" w:rsidR="00E373C8" w:rsidRDefault="00C808E5">
      <w:pPr>
        <w:pStyle w:val="Prrafodelista"/>
        <w:numPr>
          <w:ilvl w:val="0"/>
          <w:numId w:val="2"/>
        </w:numPr>
        <w:spacing w:before="160" w:after="80"/>
      </w:pPr>
      <w:r>
        <w:rPr>
          <w:b/>
          <w:bCs/>
        </w:rPr>
        <w:t>Introducción</w:t>
      </w:r>
    </w:p>
    <w:p w14:paraId="69CAC003" w14:textId="77777777" w:rsidR="00E373C8" w:rsidRDefault="00C808E5">
      <w:pPr>
        <w:spacing w:after="60"/>
        <w:ind w:firstLine="432"/>
        <w:jc w:val="both"/>
      </w:pPr>
      <w:r>
        <w:t>En el panorama tecnológico actual, los datos se han convertido en el activo intangible más estratégico para las organizaciones y los sistemas informáticos modernos. La proliferación de sensores, dispositivos móviles y servicios de computación en la nube ha derivado en una generación masiva de información en tiempo real, lo que exige marcos metodológicos y patrones arquitectónicos rigurosos para su ingesta, almacenamiento y procesamiento, con el fin de mitigar riesgos corporativos y sustentar de forma empíri</w:t>
      </w:r>
      <w:r>
        <w:t>ca la toma de decisiones (Provost &amp; Fawcett, 2013).</w:t>
      </w:r>
    </w:p>
    <w:p w14:paraId="22352A27" w14:textId="77777777" w:rsidR="00E373C8" w:rsidRDefault="00C808E5">
      <w:pPr>
        <w:spacing w:after="60"/>
        <w:ind w:firstLine="432"/>
        <w:jc w:val="both"/>
      </w:pPr>
      <w:r>
        <w:t>Durante la última década, la disciplina ha migrado desde esquemas monolíticos centrados en un único motor relacional hacia ecosistemas distribuidos donde la ingeniería, la analítica y la visualización conviven como capas interdependientes de un mismo flujo de valor. Esta transición no es meramente tecnológica: implica adoptar prácticas de gobierno de datos, control de calidad y trazabilidad que antes quedaban relegadas a proyectos de nicho y que hoy son condición necesaria para cualquier iniciativa de datos</w:t>
      </w:r>
      <w:r>
        <w:t xml:space="preserve"> a escala (Kimball &amp; Ross, 2013).</w:t>
      </w:r>
    </w:p>
    <w:p w14:paraId="6C9EE5B1" w14:textId="77777777" w:rsidR="00E373C8" w:rsidRDefault="00C808E5">
      <w:pPr>
        <w:spacing w:after="60"/>
        <w:ind w:firstLine="432"/>
        <w:jc w:val="both"/>
      </w:pPr>
      <w:r>
        <w:t xml:space="preserve">La formación de profesionales en Ciencias de la Computación exige el dominio de infraestructuras capaces de responder a las demandas reales del mercado laboral. </w:t>
      </w:r>
      <w:r>
        <w:t>En este contexto, el presente estado del arte estructura una revisión sistemática sobre el ecosistema que integra la Ingeniería de Datos, la Analítica de Datos y la Visualización de Información, con el propósito de fundamentar el diseño de pipelines automatizados a partir de literatura científica reciente (Armbrust et al., 2021).</w:t>
      </w:r>
    </w:p>
    <w:p w14:paraId="26DEBB1A" w14:textId="77777777" w:rsidR="00E373C8" w:rsidRDefault="00C808E5">
      <w:pPr>
        <w:pStyle w:val="Prrafodelista"/>
        <w:numPr>
          <w:ilvl w:val="0"/>
          <w:numId w:val="2"/>
        </w:numPr>
        <w:spacing w:before="160" w:after="80"/>
      </w:pPr>
      <w:r>
        <w:rPr>
          <w:b/>
          <w:bCs/>
        </w:rPr>
        <w:t>Marco Conceptual y Arquitectura de Datos</w:t>
      </w:r>
    </w:p>
    <w:p w14:paraId="49BC9B67" w14:textId="77777777" w:rsidR="00E373C8" w:rsidRDefault="00C808E5">
      <w:pPr>
        <w:spacing w:before="100" w:after="40"/>
        <w:jc w:val="both"/>
      </w:pPr>
      <w:r>
        <w:rPr>
          <w:b/>
          <w:bCs/>
          <w:i/>
          <w:iCs/>
        </w:rPr>
        <w:t>II-A.  Arquitectura Medallón (Bronze-Silver-Gold)</w:t>
      </w:r>
    </w:p>
    <w:p w14:paraId="63A298C8" w14:textId="77777777" w:rsidR="00E373C8" w:rsidRDefault="00C808E5">
      <w:pPr>
        <w:spacing w:after="60"/>
        <w:ind w:firstLine="432"/>
        <w:jc w:val="both"/>
      </w:pPr>
      <w:r>
        <w:t>La arquitectura Medallón es un patrón de diseño lógico para organizar los datos dentro de un entorno analítico moderno, estableciendo capas sucesivas de calidad y refinamiento que garantizan trazabilidad sobre repositorios distribuidos de objetos (Jain et al., 2023):</w:t>
      </w:r>
    </w:p>
    <w:p w14:paraId="6FCC0CBE" w14:textId="77777777" w:rsidR="00E373C8" w:rsidRDefault="00C808E5">
      <w:pPr>
        <w:pStyle w:val="Prrafodelista"/>
        <w:numPr>
          <w:ilvl w:val="0"/>
          <w:numId w:val="3"/>
        </w:numPr>
        <w:spacing w:after="60"/>
        <w:jc w:val="both"/>
      </w:pPr>
      <w:r>
        <w:rPr>
          <w:b/>
          <w:bCs/>
        </w:rPr>
        <w:t xml:space="preserve">Capa Bronze (Raw Data): </w:t>
      </w:r>
      <w:r>
        <w:t>zona de ingesta inicial que conserva los registros en su formato nativo y crudo, sin transformaciones (Sawadogo &amp; Darmont, 2021).</w:t>
      </w:r>
    </w:p>
    <w:p w14:paraId="0211B7EF" w14:textId="77777777" w:rsidR="00E373C8" w:rsidRDefault="00C808E5">
      <w:pPr>
        <w:pStyle w:val="Prrafodelista"/>
        <w:numPr>
          <w:ilvl w:val="0"/>
          <w:numId w:val="3"/>
        </w:numPr>
        <w:spacing w:after="60"/>
        <w:jc w:val="both"/>
      </w:pPr>
      <w:r>
        <w:rPr>
          <w:b/>
          <w:bCs/>
        </w:rPr>
        <w:t>Capa Silver (</w:t>
      </w:r>
      <w:proofErr w:type="spellStart"/>
      <w:r>
        <w:rPr>
          <w:b/>
          <w:bCs/>
        </w:rPr>
        <w:t>Cleansed</w:t>
      </w:r>
      <w:proofErr w:type="spellEnd"/>
      <w:r>
        <w:rPr>
          <w:b/>
          <w:bCs/>
        </w:rPr>
        <w:t xml:space="preserve"> Data): </w:t>
      </w:r>
      <w:r>
        <w:t xml:space="preserve">fase de consolidación donde se aplican limpieza, tipado estricto, normalización y </w:t>
      </w:r>
      <w:proofErr w:type="spellStart"/>
      <w:r>
        <w:t>deduplicación</w:t>
      </w:r>
      <w:proofErr w:type="spellEnd"/>
      <w:r>
        <w:t xml:space="preserve"> de registros (Machado et al., 2022).</w:t>
      </w:r>
    </w:p>
    <w:p w14:paraId="7CC9F64E" w14:textId="77777777" w:rsidR="00E373C8" w:rsidRDefault="00C808E5">
      <w:pPr>
        <w:pStyle w:val="Prrafodelista"/>
        <w:numPr>
          <w:ilvl w:val="0"/>
          <w:numId w:val="3"/>
        </w:numPr>
        <w:spacing w:after="60"/>
        <w:jc w:val="both"/>
      </w:pPr>
      <w:r>
        <w:rPr>
          <w:b/>
          <w:bCs/>
        </w:rPr>
        <w:t>Capa Gold (</w:t>
      </w:r>
      <w:proofErr w:type="spellStart"/>
      <w:r>
        <w:rPr>
          <w:b/>
          <w:bCs/>
        </w:rPr>
        <w:t>Curated</w:t>
      </w:r>
      <w:proofErr w:type="spellEnd"/>
      <w:r>
        <w:rPr>
          <w:b/>
          <w:bCs/>
        </w:rPr>
        <w:t xml:space="preserve"> Data): </w:t>
      </w:r>
      <w:r>
        <w:t>capa final orientada al negocio, que materializa agregaciones e indicadores clave de rendimiento (Kimball &amp; Ross, 2013).</w:t>
      </w:r>
    </w:p>
    <w:p w14:paraId="6AFB0E2A" w14:textId="77777777" w:rsidR="00E373C8" w:rsidRDefault="00C808E5">
      <w:pPr>
        <w:spacing w:before="100" w:after="40"/>
        <w:jc w:val="both"/>
      </w:pPr>
      <w:r>
        <w:rPr>
          <w:b/>
          <w:bCs/>
          <w:i/>
          <w:iCs/>
        </w:rPr>
        <w:t>II-B.  Evolución del Paradigma de Integración: de ETL a ELT</w:t>
      </w:r>
    </w:p>
    <w:p w14:paraId="3C5B4D88" w14:textId="77777777" w:rsidR="00E373C8" w:rsidRDefault="00C808E5">
      <w:pPr>
        <w:spacing w:after="60"/>
        <w:ind w:firstLine="432"/>
        <w:jc w:val="both"/>
      </w:pPr>
      <w:r>
        <w:t>El proceso de integración tradicional siguió el enfoque ETL (</w:t>
      </w:r>
      <w:proofErr w:type="spellStart"/>
      <w:r>
        <w:t>Extract</w:t>
      </w:r>
      <w:proofErr w:type="spellEnd"/>
      <w:r>
        <w:t xml:space="preserve">, </w:t>
      </w:r>
      <w:proofErr w:type="spellStart"/>
      <w:r>
        <w:t>Transform</w:t>
      </w:r>
      <w:proofErr w:type="spellEnd"/>
      <w:r>
        <w:t xml:space="preserve">, Load), pensado para bases relacionales con recursos limitados, donde las transformaciones se ejecutaban en un área de </w:t>
      </w:r>
      <w:proofErr w:type="spellStart"/>
      <w:r>
        <w:t>staging</w:t>
      </w:r>
      <w:proofErr w:type="spellEnd"/>
      <w:r>
        <w:t xml:space="preserve"> antes de la carga (Kimball &amp; Ross, 2013). La computación elástica en la nube ha impulsado el paradigma ELT (</w:t>
      </w:r>
      <w:proofErr w:type="spellStart"/>
      <w:r>
        <w:t>Extract</w:t>
      </w:r>
      <w:proofErr w:type="spellEnd"/>
      <w:r>
        <w:t xml:space="preserve">, Load, </w:t>
      </w:r>
      <w:proofErr w:type="spellStart"/>
      <w:r>
        <w:t>Transform</w:t>
      </w:r>
      <w:proofErr w:type="spellEnd"/>
      <w:r>
        <w:t>), en el que los datos se cargan primero en crudo y luego se transforman aprovechando el cómputo distribuido nativo del repositorio destino (Machado et al., 2022).</w:t>
      </w:r>
    </w:p>
    <w:p w14:paraId="15BA2004" w14:textId="77777777" w:rsidR="00E373C8" w:rsidRDefault="00C808E5">
      <w:pPr>
        <w:spacing w:before="100" w:after="40"/>
        <w:jc w:val="both"/>
      </w:pPr>
      <w:r>
        <w:rPr>
          <w:b/>
          <w:bCs/>
          <w:i/>
          <w:iCs/>
        </w:rPr>
        <w:t xml:space="preserve">II-C.  Data </w:t>
      </w:r>
      <w:proofErr w:type="spellStart"/>
      <w:r>
        <w:rPr>
          <w:b/>
          <w:bCs/>
          <w:i/>
          <w:iCs/>
        </w:rPr>
        <w:t>Warehouses</w:t>
      </w:r>
      <w:proofErr w:type="spellEnd"/>
      <w:r>
        <w:rPr>
          <w:b/>
          <w:bCs/>
          <w:i/>
          <w:iCs/>
        </w:rPr>
        <w:t xml:space="preserve"> vs. Data Lakes</w:t>
      </w:r>
    </w:p>
    <w:p w14:paraId="206B097B" w14:textId="77777777" w:rsidR="00E373C8" w:rsidRDefault="00C808E5">
      <w:pPr>
        <w:spacing w:after="60"/>
        <w:ind w:firstLine="432"/>
        <w:jc w:val="both"/>
      </w:pPr>
      <w:r>
        <w:t xml:space="preserve">El Data </w:t>
      </w:r>
      <w:proofErr w:type="spellStart"/>
      <w:r>
        <w:t>Warehouse</w:t>
      </w:r>
      <w:proofErr w:type="spellEnd"/>
      <w:r>
        <w:t xml:space="preserve"> es un sistema centralizado que almacena y gestiona datos estructurados mediante motores relacionales (Kimball &amp; Ross, 2013). El Data Lake, en cambio, almacena datos estructurados, semiestructurados y no estructurados en su formato original a bajo costo. Sin gobernanza y zonas de calidad, un Data Lake puede degradarse en un depósito de información inaccesible o 'data </w:t>
      </w:r>
      <w:proofErr w:type="spellStart"/>
      <w:r>
        <w:t>swamp</w:t>
      </w:r>
      <w:proofErr w:type="spellEnd"/>
      <w:r>
        <w:t>' (Sawadogo &amp; Darmont, 2021).</w:t>
      </w:r>
    </w:p>
    <w:p w14:paraId="455766DC" w14:textId="77777777" w:rsidR="00E373C8" w:rsidRDefault="00C808E5">
      <w:pPr>
        <w:spacing w:before="100" w:after="40"/>
        <w:jc w:val="both"/>
      </w:pPr>
      <w:r>
        <w:rPr>
          <w:b/>
          <w:bCs/>
          <w:i/>
          <w:iCs/>
        </w:rPr>
        <w:t xml:space="preserve">II-D.  Data </w:t>
      </w:r>
      <w:proofErr w:type="spellStart"/>
      <w:r>
        <w:rPr>
          <w:b/>
          <w:bCs/>
          <w:i/>
          <w:iCs/>
        </w:rPr>
        <w:t>Lakehouse</w:t>
      </w:r>
      <w:proofErr w:type="spellEnd"/>
      <w:r>
        <w:rPr>
          <w:b/>
          <w:bCs/>
          <w:i/>
          <w:iCs/>
        </w:rPr>
        <w:t>: Convergencia Arquitectónica</w:t>
      </w:r>
    </w:p>
    <w:p w14:paraId="4511E215" w14:textId="77777777" w:rsidR="00E373C8" w:rsidRDefault="00C808E5">
      <w:pPr>
        <w:spacing w:after="60"/>
        <w:ind w:firstLine="432"/>
        <w:jc w:val="both"/>
      </w:pPr>
      <w:r>
        <w:t xml:space="preserve">El Data </w:t>
      </w:r>
      <w:proofErr w:type="spellStart"/>
      <w:r>
        <w:t>Lakehouse</w:t>
      </w:r>
      <w:proofErr w:type="spellEnd"/>
      <w:r>
        <w:t xml:space="preserve"> surge como arquitectura híbrida que combina la flexibilidad y bajo costo del Data Lake con las garantías transaccionales ACID propias de un Data </w:t>
      </w:r>
      <w:proofErr w:type="spellStart"/>
      <w:r>
        <w:t>Warehouse</w:t>
      </w:r>
      <w:proofErr w:type="spellEnd"/>
      <w:r>
        <w:t xml:space="preserve"> (Armbrust et al., 2021). Esta convergencia se habilita mediante formatos de tabla abiertos sobre almacenamiento de objetos, permitiendo que distintos motores analíticos operen simultáneamente sobre el </w:t>
      </w:r>
      <w:r>
        <w:lastRenderedPageBreak/>
        <w:t>mismo repositorio sin duplicar información (Jain et al., 2023).</w:t>
      </w:r>
    </w:p>
    <w:p w14:paraId="5A1B2980" w14:textId="77777777" w:rsidR="00E373C8" w:rsidRDefault="00C808E5">
      <w:pPr>
        <w:spacing w:after="60"/>
        <w:ind w:firstLine="432"/>
        <w:jc w:val="both"/>
      </w:pPr>
      <w:r>
        <w:t xml:space="preserve">Formatos como Delta Lake añaden una capa de metadatos transaccional sobre archivos Parquet, registrando cada operación de escritura en un log versionado que habilita control de concurrencia, viaje en el tiempo (time </w:t>
      </w:r>
      <w:proofErr w:type="spellStart"/>
      <w:r>
        <w:t>travel</w:t>
      </w:r>
      <w:proofErr w:type="spellEnd"/>
      <w:r>
        <w:t xml:space="preserve">) y reversión de cambios erróneos (Armbrust et al., 2020). Esta capacidad reduce significativamente la necesidad de mantener copias redundantes de los datos entre el Data Lake y el Data </w:t>
      </w:r>
      <w:proofErr w:type="spellStart"/>
      <w:r>
        <w:t>Warehouse</w:t>
      </w:r>
      <w:proofErr w:type="spellEnd"/>
      <w:r>
        <w:t xml:space="preserve"> tradicional.</w:t>
      </w:r>
    </w:p>
    <w:p w14:paraId="5F140697" w14:textId="77777777" w:rsidR="00E373C8" w:rsidRDefault="00C808E5">
      <w:pPr>
        <w:pStyle w:val="Prrafodelista"/>
        <w:numPr>
          <w:ilvl w:val="0"/>
          <w:numId w:val="2"/>
        </w:numPr>
        <w:spacing w:before="160" w:after="80"/>
      </w:pPr>
      <w:r>
        <w:rPr>
          <w:b/>
          <w:bCs/>
        </w:rPr>
        <w:t>Casos de Aplicación por Sector Productivo</w:t>
      </w:r>
    </w:p>
    <w:p w14:paraId="1E4DA8B2" w14:textId="77777777" w:rsidR="00E373C8" w:rsidRDefault="00C808E5">
      <w:pPr>
        <w:spacing w:after="60"/>
        <w:ind w:firstLine="432"/>
        <w:jc w:val="both"/>
      </w:pPr>
      <w:r>
        <w:t xml:space="preserve">La adopción de arquitecturas unificadas de datos no se limita al ámbito tecnológico; su impacto se materializa de forma distinta según el sector productivo y sus necesidades particulares de latencia, cumplimiento normativo y volumen de información. A </w:t>
      </w:r>
      <w:proofErr w:type="gramStart"/>
      <w:r>
        <w:t>continuación</w:t>
      </w:r>
      <w:proofErr w:type="gramEnd"/>
      <w:r>
        <w:t xml:space="preserve"> se describen tres dominios donde la literatura documenta beneficios consistentes.</w:t>
      </w:r>
    </w:p>
    <w:p w14:paraId="244D8657" w14:textId="77777777" w:rsidR="00E373C8" w:rsidRDefault="00C808E5">
      <w:pPr>
        <w:spacing w:before="100" w:after="40"/>
        <w:jc w:val="both"/>
      </w:pPr>
      <w:r>
        <w:rPr>
          <w:b/>
          <w:bCs/>
          <w:i/>
          <w:iCs/>
        </w:rPr>
        <w:t>III-A.  Sector Financiero y de Seguros</w:t>
      </w:r>
    </w:p>
    <w:p w14:paraId="4D276AA2" w14:textId="77777777" w:rsidR="00E373C8" w:rsidRDefault="00C808E5">
      <w:pPr>
        <w:spacing w:after="60"/>
        <w:ind w:firstLine="432"/>
        <w:jc w:val="both"/>
      </w:pPr>
      <w:r>
        <w:t xml:space="preserve">En banca y seguros, la combinación de un Data </w:t>
      </w:r>
      <w:proofErr w:type="spellStart"/>
      <w:r>
        <w:t>Lakehouse</w:t>
      </w:r>
      <w:proofErr w:type="spellEnd"/>
      <w:r>
        <w:t xml:space="preserve"> con modelado dimensional de Kimball permite consolidar transacciones, historiales crediticios e interacciones de clientes bajo un mismo gobierno de datos, facilitando el cumplimiento de auditorías regulatorias sin sacrificar la flexibilidad analítica que exigen los modelos de riesgo y detección de fraude (Kimball &amp; Ross, 2013).</w:t>
      </w:r>
    </w:p>
    <w:p w14:paraId="7C329713" w14:textId="77777777" w:rsidR="00E373C8" w:rsidRDefault="00C808E5">
      <w:pPr>
        <w:spacing w:before="100" w:after="40"/>
        <w:jc w:val="both"/>
      </w:pPr>
      <w:r>
        <w:rPr>
          <w:b/>
          <w:bCs/>
          <w:i/>
          <w:iCs/>
        </w:rPr>
        <w:t xml:space="preserve">III-B.  </w:t>
      </w:r>
      <w:proofErr w:type="spellStart"/>
      <w:r>
        <w:rPr>
          <w:b/>
          <w:bCs/>
          <w:i/>
          <w:iCs/>
        </w:rPr>
        <w:t>Retail</w:t>
      </w:r>
      <w:proofErr w:type="spellEnd"/>
      <w:r>
        <w:rPr>
          <w:b/>
          <w:bCs/>
          <w:i/>
          <w:iCs/>
        </w:rPr>
        <w:t xml:space="preserve"> y Comercio Electrónico</w:t>
      </w:r>
    </w:p>
    <w:p w14:paraId="3BDAA605" w14:textId="77777777" w:rsidR="00E373C8" w:rsidRDefault="00C808E5">
      <w:pPr>
        <w:spacing w:after="60"/>
        <w:ind w:firstLine="432"/>
        <w:jc w:val="both"/>
      </w:pPr>
      <w:r>
        <w:t xml:space="preserve">Las plataformas de comercio electrónico dependen de pipelines ELT capaces de integrar datos de inventario, comportamiento de navegación y campañas de marketing en la capa Gold, habilitando tableros de Business </w:t>
      </w:r>
      <w:proofErr w:type="spellStart"/>
      <w:r>
        <w:t>Intelligence</w:t>
      </w:r>
      <w:proofErr w:type="spellEnd"/>
      <w:r>
        <w:t xml:space="preserve"> que orientan decisiones de precios y reposición de stock casi en tiempo real (Machado et al., 2022).</w:t>
      </w:r>
    </w:p>
    <w:p w14:paraId="4E1FD9DE" w14:textId="77777777" w:rsidR="00E373C8" w:rsidRDefault="00C808E5">
      <w:pPr>
        <w:spacing w:before="100" w:after="40"/>
        <w:jc w:val="both"/>
      </w:pPr>
      <w:r>
        <w:rPr>
          <w:b/>
          <w:bCs/>
          <w:i/>
          <w:iCs/>
        </w:rPr>
        <w:t>III-C.  Educación Superior</w:t>
      </w:r>
    </w:p>
    <w:p w14:paraId="36F60180" w14:textId="77777777" w:rsidR="00E373C8" w:rsidRDefault="00C808E5">
      <w:pPr>
        <w:spacing w:after="60"/>
        <w:ind w:firstLine="432"/>
        <w:jc w:val="both"/>
      </w:pPr>
      <w:r>
        <w:t>En instituciones de educación superior, la arquitectura Medallón sustenta analíticas de aprendizaje que combinan calificaciones, asistencia y uso de plataformas virtuales, permitiendo modelos predictivos de deserción estudiantil y cuadros de mando institucionales que traducen indicadores académicos complejos en visualizaciones accesibles para autoridades y docentes (Few, 2012).</w:t>
      </w:r>
    </w:p>
    <w:p w14:paraId="16A45BE7" w14:textId="77777777" w:rsidR="00E373C8" w:rsidRDefault="00C808E5">
      <w:pPr>
        <w:pStyle w:val="Prrafodelista"/>
        <w:numPr>
          <w:ilvl w:val="0"/>
          <w:numId w:val="2"/>
        </w:numPr>
        <w:spacing w:before="160" w:after="80"/>
      </w:pPr>
      <w:r>
        <w:rPr>
          <w:b/>
          <w:bCs/>
        </w:rPr>
        <w:t>Ingeniería y Modelado de la Capa Silver</w:t>
      </w:r>
    </w:p>
    <w:p w14:paraId="3A665C93" w14:textId="77777777" w:rsidR="00E373C8" w:rsidRDefault="00C808E5">
      <w:pPr>
        <w:spacing w:before="100" w:after="40"/>
        <w:jc w:val="both"/>
      </w:pPr>
      <w:r>
        <w:rPr>
          <w:b/>
          <w:bCs/>
          <w:i/>
          <w:iCs/>
        </w:rPr>
        <w:t>IV-A.  Modelado Dimensional de Kimball y Esquema Estrella</w:t>
      </w:r>
    </w:p>
    <w:p w14:paraId="03FA3AF6" w14:textId="77777777" w:rsidR="00E373C8" w:rsidRDefault="00C808E5">
      <w:pPr>
        <w:spacing w:after="60"/>
        <w:ind w:firstLine="432"/>
        <w:jc w:val="both"/>
      </w:pPr>
      <w:r>
        <w:t xml:space="preserve">El diseño lógico de la capa Silver hacia la capa Gold requiere metodologías formales. El modelado dimensional de Kimball y Ross (2013) constituye el estándar vigente mediante el patrón de Esquema Estrella, compuesto por Tablas de Hechos (métricas y eventos cuantitativos) y Tablas de Dimensiones (atributos descriptivos y jerarquías </w:t>
      </w:r>
      <w:r>
        <w:t>de contexto). Pese a la evolución tecnológica, este modelado sigue siendo indispensable para garantizar la integridad referencial antes de construir cualquier pipeline automatizado.</w:t>
      </w:r>
    </w:p>
    <w:p w14:paraId="31B4B4C1" w14:textId="77777777" w:rsidR="00E373C8" w:rsidRDefault="00C808E5">
      <w:pPr>
        <w:spacing w:after="60"/>
        <w:ind w:firstLine="432"/>
        <w:jc w:val="both"/>
      </w:pPr>
      <w:r>
        <w:t>Un esquema estrella bien normalizado en sus dimensiones, pero desnormalizado en la tabla de hechos, reduce drásticamente el número de uniones (</w:t>
      </w:r>
      <w:proofErr w:type="spellStart"/>
      <w:r>
        <w:t>joins</w:t>
      </w:r>
      <w:proofErr w:type="spellEnd"/>
      <w:r>
        <w:t>) necesarias para responder una consulta analítica, lo que se traduce en tiempos de respuesta más predecibles frente a los esquemas puramente normalizados heredados de los sistemas transaccionales (OLTP).</w:t>
      </w:r>
    </w:p>
    <w:p w14:paraId="7C870B3A" w14:textId="77777777" w:rsidR="00E373C8" w:rsidRDefault="00C808E5">
      <w:pPr>
        <w:spacing w:before="100" w:after="40"/>
        <w:jc w:val="both"/>
      </w:pPr>
      <w:r>
        <w:rPr>
          <w:b/>
          <w:bCs/>
          <w:i/>
          <w:iCs/>
        </w:rPr>
        <w:t>IV-B.  Orquestación y Gobierno de Pipelines</w:t>
      </w:r>
    </w:p>
    <w:p w14:paraId="63C6BC56" w14:textId="77777777" w:rsidR="00E373C8" w:rsidRDefault="00C808E5">
      <w:pPr>
        <w:spacing w:after="60"/>
        <w:ind w:firstLine="432"/>
        <w:jc w:val="both"/>
      </w:pPr>
      <w:r>
        <w:t>Un pipeline moderno es una secuencia de tareas interdependientes que debe ejecutarse bajo condiciones estrictas de automatización. El orquestador coordina la programación, el manejo de fallos y el monitoreo de estas tareas (Machado et al., 2022), utilizando Gráficos Acíclicos Dirigidos (</w:t>
      </w:r>
      <w:proofErr w:type="spellStart"/>
      <w:r>
        <w:t>DAGs</w:t>
      </w:r>
      <w:proofErr w:type="spellEnd"/>
      <w:r>
        <w:t>) definidos en código para expresar flujos de trabajo flexibles y mantenibles.</w:t>
      </w:r>
    </w:p>
    <w:p w14:paraId="5A340A47" w14:textId="77777777" w:rsidR="00E373C8" w:rsidRDefault="00C808E5">
      <w:pPr>
        <w:spacing w:after="60"/>
        <w:ind w:firstLine="432"/>
        <w:jc w:val="both"/>
      </w:pPr>
      <w:r>
        <w:t>El gobierno de datos complementa la orquestación técnica mediante catálogos de metadatos, linaje documentado y contratos de calidad entre equipos productores y consumidores de información, requisitos que se vuelven críticos a medida que crece el número de pipelines concurrentes dentro de una misma organización.</w:t>
      </w:r>
    </w:p>
    <w:p w14:paraId="197B3A3C" w14:textId="77777777" w:rsidR="00E373C8" w:rsidRDefault="00C808E5">
      <w:pPr>
        <w:pStyle w:val="Prrafodelista"/>
        <w:numPr>
          <w:ilvl w:val="0"/>
          <w:numId w:val="2"/>
        </w:numPr>
        <w:spacing w:before="160" w:after="80"/>
      </w:pPr>
      <w:r>
        <w:rPr>
          <w:b/>
          <w:bCs/>
        </w:rPr>
        <w:t>Analítica de Datos y Marcos Metodológicos</w:t>
      </w:r>
    </w:p>
    <w:p w14:paraId="2775CD9D" w14:textId="77777777" w:rsidR="00E373C8" w:rsidRDefault="00C808E5">
      <w:pPr>
        <w:spacing w:before="100" w:after="40"/>
        <w:jc w:val="both"/>
      </w:pPr>
      <w:r>
        <w:rPr>
          <w:b/>
          <w:bCs/>
          <w:i/>
          <w:iCs/>
        </w:rPr>
        <w:t>V-A.  Taxonomía de la Analítica de Datos</w:t>
      </w:r>
    </w:p>
    <w:p w14:paraId="6D5DD441" w14:textId="77777777" w:rsidR="00E373C8" w:rsidRDefault="00C808E5">
      <w:pPr>
        <w:spacing w:after="60"/>
        <w:ind w:firstLine="432"/>
        <w:jc w:val="both"/>
      </w:pPr>
      <w:r>
        <w:t>La Analítica de Datos aplica algoritmos computacionales y modelado estadístico para descubrir patrones de comportamiento (Han et al., 2011), organizándose en cuatro fases de complejidad creciente, resumidas en la Tabla I.</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tblGrid>
      <w:tr w:rsidR="00E373C8" w14:paraId="6780DDA3" w14:textId="77777777">
        <w:tblPrEx>
          <w:tblCellMar>
            <w:top w:w="0" w:type="dxa"/>
            <w:bottom w:w="0" w:type="dxa"/>
          </w:tblCellMar>
        </w:tblPrEx>
        <w:tc>
          <w:tcPr>
            <w:tcW w:w="1400" w:type="dxa"/>
            <w:shd w:val="clear" w:color="auto" w:fill="D9D9D9"/>
          </w:tcPr>
          <w:p w14:paraId="43A4A1BF" w14:textId="77777777" w:rsidR="00E373C8" w:rsidRDefault="00C808E5">
            <w:pPr>
              <w:spacing w:after="40"/>
              <w:jc w:val="center"/>
            </w:pPr>
            <w:r>
              <w:rPr>
                <w:b/>
                <w:bCs/>
                <w:sz w:val="18"/>
                <w:szCs w:val="18"/>
              </w:rPr>
              <w:t>Tipo</w:t>
            </w:r>
          </w:p>
        </w:tc>
        <w:tc>
          <w:tcPr>
            <w:tcW w:w="3300" w:type="dxa"/>
            <w:shd w:val="clear" w:color="auto" w:fill="D9D9D9"/>
          </w:tcPr>
          <w:p w14:paraId="1DDDF807" w14:textId="77777777" w:rsidR="00E373C8" w:rsidRDefault="00C808E5">
            <w:pPr>
              <w:spacing w:after="40"/>
              <w:jc w:val="center"/>
            </w:pPr>
            <w:r>
              <w:rPr>
                <w:b/>
                <w:bCs/>
                <w:sz w:val="18"/>
                <w:szCs w:val="18"/>
              </w:rPr>
              <w:t>Enfoque Metodológico</w:t>
            </w:r>
          </w:p>
        </w:tc>
      </w:tr>
      <w:tr w:rsidR="00E373C8" w14:paraId="43EFDAE8" w14:textId="77777777">
        <w:tblPrEx>
          <w:tblCellMar>
            <w:top w:w="0" w:type="dxa"/>
            <w:bottom w:w="0" w:type="dxa"/>
          </w:tblCellMar>
        </w:tblPrEx>
        <w:tc>
          <w:tcPr>
            <w:tcW w:w="1400" w:type="dxa"/>
          </w:tcPr>
          <w:p w14:paraId="55C39FCA" w14:textId="77777777" w:rsidR="00E373C8" w:rsidRDefault="00C808E5">
            <w:pPr>
              <w:spacing w:after="40"/>
              <w:jc w:val="both"/>
            </w:pPr>
            <w:r>
              <w:rPr>
                <w:sz w:val="18"/>
                <w:szCs w:val="18"/>
              </w:rPr>
              <w:t>Descriptiva</w:t>
            </w:r>
          </w:p>
        </w:tc>
        <w:tc>
          <w:tcPr>
            <w:tcW w:w="3300" w:type="dxa"/>
          </w:tcPr>
          <w:p w14:paraId="4CD5DF99" w14:textId="77777777" w:rsidR="00E373C8" w:rsidRDefault="00C808E5">
            <w:pPr>
              <w:spacing w:after="40"/>
              <w:jc w:val="both"/>
            </w:pPr>
            <w:r>
              <w:rPr>
                <w:sz w:val="18"/>
                <w:szCs w:val="18"/>
              </w:rPr>
              <w:t>Examina el historial para responder '¿qué ocurrió?' mediante agregaciones básicas.</w:t>
            </w:r>
          </w:p>
        </w:tc>
      </w:tr>
      <w:tr w:rsidR="00E373C8" w14:paraId="3C997C52" w14:textId="77777777">
        <w:tblPrEx>
          <w:tblCellMar>
            <w:top w:w="0" w:type="dxa"/>
            <w:bottom w:w="0" w:type="dxa"/>
          </w:tblCellMar>
        </w:tblPrEx>
        <w:tc>
          <w:tcPr>
            <w:tcW w:w="1400" w:type="dxa"/>
          </w:tcPr>
          <w:p w14:paraId="63ADC674" w14:textId="77777777" w:rsidR="00E373C8" w:rsidRDefault="00C808E5">
            <w:pPr>
              <w:spacing w:after="40"/>
              <w:jc w:val="both"/>
            </w:pPr>
            <w:r>
              <w:rPr>
                <w:sz w:val="18"/>
                <w:szCs w:val="18"/>
              </w:rPr>
              <w:t>Diagnóstica</w:t>
            </w:r>
          </w:p>
        </w:tc>
        <w:tc>
          <w:tcPr>
            <w:tcW w:w="3300" w:type="dxa"/>
          </w:tcPr>
          <w:p w14:paraId="1CA3379E" w14:textId="77777777" w:rsidR="00E373C8" w:rsidRDefault="00C808E5">
            <w:pPr>
              <w:spacing w:after="40"/>
              <w:jc w:val="both"/>
            </w:pPr>
            <w:r>
              <w:rPr>
                <w:sz w:val="18"/>
                <w:szCs w:val="18"/>
              </w:rPr>
              <w:t>Evalúa correlaciones y variables para responder '¿por qué ocurrió?'.</w:t>
            </w:r>
          </w:p>
        </w:tc>
      </w:tr>
      <w:tr w:rsidR="00E373C8" w14:paraId="22A6AEC6" w14:textId="77777777">
        <w:tblPrEx>
          <w:tblCellMar>
            <w:top w:w="0" w:type="dxa"/>
            <w:bottom w:w="0" w:type="dxa"/>
          </w:tblCellMar>
        </w:tblPrEx>
        <w:tc>
          <w:tcPr>
            <w:tcW w:w="1400" w:type="dxa"/>
          </w:tcPr>
          <w:p w14:paraId="67431A0C" w14:textId="77777777" w:rsidR="00E373C8" w:rsidRDefault="00C808E5">
            <w:pPr>
              <w:spacing w:after="40"/>
              <w:jc w:val="both"/>
            </w:pPr>
            <w:r>
              <w:rPr>
                <w:sz w:val="18"/>
                <w:szCs w:val="18"/>
              </w:rPr>
              <w:t>Predictiva</w:t>
            </w:r>
          </w:p>
        </w:tc>
        <w:tc>
          <w:tcPr>
            <w:tcW w:w="3300" w:type="dxa"/>
          </w:tcPr>
          <w:p w14:paraId="144B2A69" w14:textId="77777777" w:rsidR="00E373C8" w:rsidRDefault="00C808E5">
            <w:pPr>
              <w:spacing w:after="40"/>
              <w:jc w:val="both"/>
            </w:pPr>
            <w:r>
              <w:rPr>
                <w:sz w:val="18"/>
                <w:szCs w:val="18"/>
              </w:rPr>
              <w:t xml:space="preserve">Integra series temporales y machine </w:t>
            </w:r>
            <w:proofErr w:type="spellStart"/>
            <w:r>
              <w:rPr>
                <w:sz w:val="18"/>
                <w:szCs w:val="18"/>
              </w:rPr>
              <w:t>learning</w:t>
            </w:r>
            <w:proofErr w:type="spellEnd"/>
            <w:r>
              <w:rPr>
                <w:sz w:val="18"/>
                <w:szCs w:val="18"/>
              </w:rPr>
              <w:t xml:space="preserve"> para inferir '¿qué es probable que ocurra?'.</w:t>
            </w:r>
          </w:p>
        </w:tc>
      </w:tr>
      <w:tr w:rsidR="00E373C8" w14:paraId="1AEC0414" w14:textId="77777777">
        <w:tblPrEx>
          <w:tblCellMar>
            <w:top w:w="0" w:type="dxa"/>
            <w:bottom w:w="0" w:type="dxa"/>
          </w:tblCellMar>
        </w:tblPrEx>
        <w:tc>
          <w:tcPr>
            <w:tcW w:w="1400" w:type="dxa"/>
          </w:tcPr>
          <w:p w14:paraId="6F8BB758" w14:textId="77777777" w:rsidR="00E373C8" w:rsidRDefault="00C808E5">
            <w:pPr>
              <w:spacing w:after="40"/>
              <w:jc w:val="both"/>
            </w:pPr>
            <w:r>
              <w:rPr>
                <w:sz w:val="18"/>
                <w:szCs w:val="18"/>
              </w:rPr>
              <w:t>Prescriptiva</w:t>
            </w:r>
          </w:p>
        </w:tc>
        <w:tc>
          <w:tcPr>
            <w:tcW w:w="3300" w:type="dxa"/>
          </w:tcPr>
          <w:p w14:paraId="5E05ADDE" w14:textId="77777777" w:rsidR="00E373C8" w:rsidRDefault="00C808E5">
            <w:pPr>
              <w:spacing w:after="40"/>
              <w:jc w:val="both"/>
            </w:pPr>
            <w:r>
              <w:rPr>
                <w:sz w:val="18"/>
                <w:szCs w:val="18"/>
              </w:rPr>
              <w:t>Emplea simulación y optimización para recomendar '¿cómo hacerlo ocurrir?'.</w:t>
            </w:r>
          </w:p>
        </w:tc>
      </w:tr>
    </w:tbl>
    <w:p w14:paraId="6B65325A" w14:textId="77777777" w:rsidR="00E373C8" w:rsidRDefault="00C808E5">
      <w:pPr>
        <w:spacing w:before="80" w:after="60"/>
        <w:jc w:val="center"/>
      </w:pPr>
      <w:r>
        <w:rPr>
          <w:b/>
          <w:bCs/>
          <w:sz w:val="18"/>
          <w:szCs w:val="18"/>
        </w:rPr>
        <w:t>TABLA I. FASES DE LA ANALÍTICA DE DATOS</w:t>
      </w:r>
    </w:p>
    <w:p w14:paraId="2449A4A7" w14:textId="77777777" w:rsidR="00E373C8" w:rsidRDefault="00C808E5">
      <w:pPr>
        <w:spacing w:before="100" w:after="40"/>
        <w:jc w:val="both"/>
      </w:pPr>
      <w:r>
        <w:rPr>
          <w:b/>
          <w:bCs/>
          <w:i/>
          <w:iCs/>
        </w:rPr>
        <w:t xml:space="preserve">V-B.  </w:t>
      </w:r>
      <w:proofErr w:type="spellStart"/>
      <w:r>
        <w:rPr>
          <w:b/>
          <w:bCs/>
          <w:i/>
          <w:iCs/>
        </w:rPr>
        <w:t>Frameworks</w:t>
      </w:r>
      <w:proofErr w:type="spellEnd"/>
      <w:r>
        <w:rPr>
          <w:b/>
          <w:bCs/>
          <w:i/>
          <w:iCs/>
        </w:rPr>
        <w:t xml:space="preserve"> de Ciencia de Datos</w:t>
      </w:r>
    </w:p>
    <w:p w14:paraId="383E5B2F" w14:textId="77777777" w:rsidR="00E373C8" w:rsidRDefault="00C808E5">
      <w:pPr>
        <w:spacing w:after="60"/>
        <w:ind w:firstLine="432"/>
        <w:jc w:val="both"/>
      </w:pPr>
      <w:r>
        <w:t>Para evitar el desarrollo ad-hoc de proyectos analíticos, la ciencia de datos adopta marcos metodológicos iterativos que guían desde el entendimiento del negocio hasta el despliegue del modelo (Han et al., 2011). El marco CRISP-DM, uno de los más referenciados en la literatura, formaliza seis fases —entendimiento del negocio, entendimiento de los datos, preparación, modelado, evaluación y despliegue— que se ejecutan de manera cíclica más que estrictamente secuencial (Wirth &amp; Hipp, 2000).</w:t>
      </w:r>
    </w:p>
    <w:p w14:paraId="4B3CDC9C" w14:textId="77777777" w:rsidR="00E373C8" w:rsidRDefault="00C808E5">
      <w:pPr>
        <w:spacing w:after="60"/>
        <w:ind w:firstLine="432"/>
        <w:jc w:val="both"/>
      </w:pPr>
      <w:r>
        <w:lastRenderedPageBreak/>
        <w:t>La evidencia muestra de forma consistente que la preparación y limpieza de datos concentra la mayor inversión de tiempo del esfuerzo total de un proyecto, muchas veces por encima del tiempo dedicado al modelado algorítmico propiamente dicho, lo que subraya la importancia de una capa Silver robusta antes de iniciar cualquier iniciativa analítica.</w:t>
      </w:r>
    </w:p>
    <w:p w14:paraId="78E831E6" w14:textId="77777777" w:rsidR="00E373C8" w:rsidRDefault="00C808E5">
      <w:pPr>
        <w:pStyle w:val="Prrafodelista"/>
        <w:numPr>
          <w:ilvl w:val="0"/>
          <w:numId w:val="2"/>
        </w:numPr>
        <w:spacing w:before="160" w:after="80"/>
      </w:pPr>
      <w:r>
        <w:rPr>
          <w:b/>
          <w:bCs/>
        </w:rPr>
        <w:t>Visualización de Datos e Inteligencia de Negocios</w:t>
      </w:r>
    </w:p>
    <w:p w14:paraId="7ECF2D9A" w14:textId="77777777" w:rsidR="00E373C8" w:rsidRDefault="00C808E5">
      <w:pPr>
        <w:spacing w:before="100" w:after="40"/>
        <w:jc w:val="both"/>
      </w:pPr>
      <w:r>
        <w:rPr>
          <w:b/>
          <w:bCs/>
          <w:i/>
          <w:iCs/>
        </w:rPr>
        <w:t>VI-A.  Fundamentos Cognitivos de la Visualización</w:t>
      </w:r>
    </w:p>
    <w:p w14:paraId="6D156042" w14:textId="77777777" w:rsidR="00E373C8" w:rsidRDefault="00C808E5">
      <w:pPr>
        <w:spacing w:after="60"/>
        <w:ind w:firstLine="432"/>
        <w:jc w:val="both"/>
      </w:pPr>
      <w:r>
        <w:t>La Visualización de Datos traduce métricas e inferencias en representaciones gráficas que aceleran la interpretación cognitiva humana al mapear números en atributos visuales (Cairo, 2019). Su relevancia en la Inteligencia de Negocios radica en democratizar el acceso a la información y actuar como puente de comunicación entre analistas y tomadores de decisión (Few, 2012).</w:t>
      </w:r>
    </w:p>
    <w:p w14:paraId="681AB2CB" w14:textId="77777777" w:rsidR="00E373C8" w:rsidRDefault="00C808E5">
      <w:pPr>
        <w:spacing w:after="60"/>
        <w:ind w:firstLine="432"/>
        <w:jc w:val="both"/>
      </w:pPr>
      <w:r>
        <w:t>El diseño efectivo de un tablero exige minimizar la carga cognitiva del usuario: reducir elementos decorativos sin valor informativo, alinear la escala de los ejes con la naturaleza de los datos y priorizar la jerarquía visual de los indicadores más críticos para la audiencia objetivo (Few, 2012).</w:t>
      </w:r>
    </w:p>
    <w:p w14:paraId="634A0876" w14:textId="77777777" w:rsidR="00E373C8" w:rsidRDefault="00C808E5">
      <w:pPr>
        <w:spacing w:before="100" w:after="40"/>
        <w:jc w:val="both"/>
      </w:pPr>
      <w:r>
        <w:rPr>
          <w:b/>
          <w:bCs/>
          <w:i/>
          <w:iCs/>
        </w:rPr>
        <w:t>VI-B.  Selección de Formatos Gráficos</w:t>
      </w:r>
    </w:p>
    <w:p w14:paraId="2A33743B" w14:textId="77777777" w:rsidR="00E373C8" w:rsidRDefault="00C808E5">
      <w:pPr>
        <w:spacing w:after="60"/>
        <w:ind w:firstLine="432"/>
        <w:jc w:val="both"/>
      </w:pPr>
      <w:r>
        <w:t>La elección del gráfico óptimo depende de la naturaleza de las variables y del objetivo analítico, como resume la Tabla II.</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00"/>
      </w:tblGrid>
      <w:tr w:rsidR="00E373C8" w14:paraId="556D90AA" w14:textId="77777777">
        <w:tblPrEx>
          <w:tblCellMar>
            <w:top w:w="0" w:type="dxa"/>
            <w:bottom w:w="0" w:type="dxa"/>
          </w:tblCellMar>
        </w:tblPrEx>
        <w:tc>
          <w:tcPr>
            <w:tcW w:w="1600" w:type="dxa"/>
            <w:shd w:val="clear" w:color="auto" w:fill="D9D9D9"/>
          </w:tcPr>
          <w:p w14:paraId="12FEBB5A" w14:textId="77777777" w:rsidR="00E373C8" w:rsidRDefault="00C808E5">
            <w:pPr>
              <w:spacing w:after="40"/>
              <w:jc w:val="center"/>
            </w:pPr>
            <w:r>
              <w:rPr>
                <w:b/>
                <w:bCs/>
                <w:sz w:val="18"/>
                <w:szCs w:val="18"/>
              </w:rPr>
              <w:t>Formato</w:t>
            </w:r>
          </w:p>
        </w:tc>
        <w:tc>
          <w:tcPr>
            <w:tcW w:w="3100" w:type="dxa"/>
            <w:shd w:val="clear" w:color="auto" w:fill="D9D9D9"/>
          </w:tcPr>
          <w:p w14:paraId="51661CD9" w14:textId="77777777" w:rsidR="00E373C8" w:rsidRDefault="00C808E5">
            <w:pPr>
              <w:spacing w:after="40"/>
              <w:jc w:val="center"/>
            </w:pPr>
            <w:r>
              <w:rPr>
                <w:b/>
                <w:bCs/>
                <w:sz w:val="18"/>
                <w:szCs w:val="18"/>
              </w:rPr>
              <w:t>Aplicación Analítica</w:t>
            </w:r>
          </w:p>
        </w:tc>
      </w:tr>
      <w:tr w:rsidR="00E373C8" w14:paraId="7944612D" w14:textId="77777777">
        <w:tblPrEx>
          <w:tblCellMar>
            <w:top w:w="0" w:type="dxa"/>
            <w:bottom w:w="0" w:type="dxa"/>
          </w:tblCellMar>
        </w:tblPrEx>
        <w:tc>
          <w:tcPr>
            <w:tcW w:w="1600" w:type="dxa"/>
          </w:tcPr>
          <w:p w14:paraId="6753AFCF" w14:textId="77777777" w:rsidR="00E373C8" w:rsidRDefault="00C808E5">
            <w:pPr>
              <w:spacing w:after="40"/>
              <w:jc w:val="both"/>
            </w:pPr>
            <w:r>
              <w:rPr>
                <w:sz w:val="18"/>
                <w:szCs w:val="18"/>
              </w:rPr>
              <w:t>Dispersión</w:t>
            </w:r>
          </w:p>
        </w:tc>
        <w:tc>
          <w:tcPr>
            <w:tcW w:w="3100" w:type="dxa"/>
          </w:tcPr>
          <w:p w14:paraId="108C812D" w14:textId="77777777" w:rsidR="00E373C8" w:rsidRDefault="00C808E5">
            <w:pPr>
              <w:spacing w:after="40"/>
              <w:jc w:val="both"/>
            </w:pPr>
            <w:r>
              <w:rPr>
                <w:sz w:val="18"/>
                <w:szCs w:val="18"/>
              </w:rPr>
              <w:t>Correlación entre dos variables continuas (Cairo, 2019).</w:t>
            </w:r>
          </w:p>
        </w:tc>
      </w:tr>
      <w:tr w:rsidR="00E373C8" w14:paraId="160C3F46" w14:textId="77777777">
        <w:tblPrEx>
          <w:tblCellMar>
            <w:top w:w="0" w:type="dxa"/>
            <w:bottom w:w="0" w:type="dxa"/>
          </w:tblCellMar>
        </w:tblPrEx>
        <w:tc>
          <w:tcPr>
            <w:tcW w:w="1600" w:type="dxa"/>
          </w:tcPr>
          <w:p w14:paraId="4F5106A4" w14:textId="77777777" w:rsidR="00E373C8" w:rsidRDefault="00C808E5">
            <w:pPr>
              <w:spacing w:after="40"/>
              <w:jc w:val="both"/>
            </w:pPr>
            <w:r>
              <w:rPr>
                <w:sz w:val="18"/>
                <w:szCs w:val="18"/>
              </w:rPr>
              <w:t>Histogramas</w:t>
            </w:r>
          </w:p>
        </w:tc>
        <w:tc>
          <w:tcPr>
            <w:tcW w:w="3100" w:type="dxa"/>
          </w:tcPr>
          <w:p w14:paraId="72788ED4" w14:textId="77777777" w:rsidR="00E373C8" w:rsidRDefault="00C808E5">
            <w:pPr>
              <w:spacing w:after="40"/>
              <w:jc w:val="both"/>
            </w:pPr>
            <w:r>
              <w:rPr>
                <w:sz w:val="18"/>
                <w:szCs w:val="18"/>
              </w:rPr>
              <w:t>Distribución de frecuencias de una variable numérica (Few, 2012).</w:t>
            </w:r>
          </w:p>
        </w:tc>
      </w:tr>
      <w:tr w:rsidR="00E373C8" w14:paraId="4932BBFE" w14:textId="77777777">
        <w:tblPrEx>
          <w:tblCellMar>
            <w:top w:w="0" w:type="dxa"/>
            <w:bottom w:w="0" w:type="dxa"/>
          </w:tblCellMar>
        </w:tblPrEx>
        <w:tc>
          <w:tcPr>
            <w:tcW w:w="1600" w:type="dxa"/>
          </w:tcPr>
          <w:p w14:paraId="6EE41567" w14:textId="77777777" w:rsidR="00E373C8" w:rsidRDefault="00C808E5">
            <w:pPr>
              <w:spacing w:after="40"/>
              <w:jc w:val="both"/>
            </w:pPr>
            <w:r>
              <w:rPr>
                <w:sz w:val="18"/>
                <w:szCs w:val="18"/>
              </w:rPr>
              <w:t>Mapas de Calor</w:t>
            </w:r>
          </w:p>
        </w:tc>
        <w:tc>
          <w:tcPr>
            <w:tcW w:w="3100" w:type="dxa"/>
          </w:tcPr>
          <w:p w14:paraId="3F15FA5E" w14:textId="77777777" w:rsidR="00E373C8" w:rsidRDefault="00C808E5">
            <w:pPr>
              <w:spacing w:after="40"/>
              <w:jc w:val="both"/>
            </w:pPr>
            <w:r>
              <w:rPr>
                <w:sz w:val="18"/>
                <w:szCs w:val="18"/>
              </w:rPr>
              <w:t>Intensidad o concentración entre múltiples dimensiones (Cairo, 2019).</w:t>
            </w:r>
          </w:p>
        </w:tc>
      </w:tr>
    </w:tbl>
    <w:p w14:paraId="3A62E2EE" w14:textId="77777777" w:rsidR="00E373C8" w:rsidRDefault="00C808E5">
      <w:pPr>
        <w:spacing w:before="80" w:after="60"/>
        <w:jc w:val="center"/>
      </w:pPr>
      <w:r>
        <w:rPr>
          <w:b/>
          <w:bCs/>
          <w:sz w:val="18"/>
          <w:szCs w:val="18"/>
        </w:rPr>
        <w:t>TABLA II. FORMATOS GRÁFICOS Y SU USO</w:t>
      </w:r>
    </w:p>
    <w:p w14:paraId="7EA88E43" w14:textId="77777777" w:rsidR="00E373C8" w:rsidRDefault="00C808E5">
      <w:pPr>
        <w:pStyle w:val="Prrafodelista"/>
        <w:numPr>
          <w:ilvl w:val="0"/>
          <w:numId w:val="2"/>
        </w:numPr>
        <w:spacing w:before="160" w:after="80"/>
      </w:pPr>
      <w:r>
        <w:rPr>
          <w:b/>
          <w:bCs/>
        </w:rPr>
        <w:t>Matriz Comparativa de Herramientas y Tecnologías</w:t>
      </w:r>
    </w:p>
    <w:p w14:paraId="23669D53" w14:textId="77777777" w:rsidR="00E373C8" w:rsidRDefault="00C808E5">
      <w:pPr>
        <w:spacing w:after="60"/>
        <w:ind w:firstLine="432"/>
        <w:jc w:val="both"/>
      </w:pPr>
      <w:r>
        <w:t>El desarrollo de flujos unificados combina tecnologías especializadas en cada pilar operativo, como resume la Tabla III.</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2200"/>
      </w:tblGrid>
      <w:tr w:rsidR="00E373C8" w14:paraId="13912051" w14:textId="77777777">
        <w:tblPrEx>
          <w:tblCellMar>
            <w:top w:w="0" w:type="dxa"/>
            <w:bottom w:w="0" w:type="dxa"/>
          </w:tblCellMar>
        </w:tblPrEx>
        <w:tc>
          <w:tcPr>
            <w:tcW w:w="1200" w:type="dxa"/>
            <w:shd w:val="clear" w:color="auto" w:fill="D9D9D9"/>
          </w:tcPr>
          <w:p w14:paraId="32AE2BBB" w14:textId="77777777" w:rsidR="00E373C8" w:rsidRDefault="00C808E5">
            <w:pPr>
              <w:spacing w:after="40"/>
              <w:jc w:val="center"/>
            </w:pPr>
            <w:r>
              <w:rPr>
                <w:b/>
                <w:bCs/>
                <w:sz w:val="18"/>
                <w:szCs w:val="18"/>
              </w:rPr>
              <w:t>Tecnología</w:t>
            </w:r>
          </w:p>
        </w:tc>
        <w:tc>
          <w:tcPr>
            <w:tcW w:w="1300" w:type="dxa"/>
            <w:shd w:val="clear" w:color="auto" w:fill="D9D9D9"/>
          </w:tcPr>
          <w:p w14:paraId="5ED06FB6" w14:textId="77777777" w:rsidR="00E373C8" w:rsidRDefault="00C808E5">
            <w:pPr>
              <w:spacing w:after="40"/>
              <w:jc w:val="center"/>
            </w:pPr>
            <w:r>
              <w:rPr>
                <w:b/>
                <w:bCs/>
                <w:sz w:val="18"/>
                <w:szCs w:val="18"/>
              </w:rPr>
              <w:t>Área</w:t>
            </w:r>
          </w:p>
        </w:tc>
        <w:tc>
          <w:tcPr>
            <w:tcW w:w="2200" w:type="dxa"/>
            <w:shd w:val="clear" w:color="auto" w:fill="D9D9D9"/>
          </w:tcPr>
          <w:p w14:paraId="7D5A7D98" w14:textId="77777777" w:rsidR="00E373C8" w:rsidRDefault="00C808E5">
            <w:pPr>
              <w:spacing w:after="40"/>
              <w:jc w:val="center"/>
            </w:pPr>
            <w:r>
              <w:rPr>
                <w:b/>
                <w:bCs/>
                <w:sz w:val="18"/>
                <w:szCs w:val="18"/>
              </w:rPr>
              <w:t>Uso Principal</w:t>
            </w:r>
          </w:p>
        </w:tc>
      </w:tr>
      <w:tr w:rsidR="00E373C8" w14:paraId="56C36A89" w14:textId="77777777">
        <w:tblPrEx>
          <w:tblCellMar>
            <w:top w:w="0" w:type="dxa"/>
            <w:bottom w:w="0" w:type="dxa"/>
          </w:tblCellMar>
        </w:tblPrEx>
        <w:tc>
          <w:tcPr>
            <w:tcW w:w="1200" w:type="dxa"/>
          </w:tcPr>
          <w:p w14:paraId="41916CB6" w14:textId="77777777" w:rsidR="00E373C8" w:rsidRDefault="00C808E5">
            <w:pPr>
              <w:spacing w:after="40"/>
              <w:jc w:val="both"/>
            </w:pPr>
            <w:r>
              <w:rPr>
                <w:sz w:val="18"/>
                <w:szCs w:val="18"/>
              </w:rPr>
              <w:t>Power BI / Looker</w:t>
            </w:r>
          </w:p>
        </w:tc>
        <w:tc>
          <w:tcPr>
            <w:tcW w:w="1300" w:type="dxa"/>
          </w:tcPr>
          <w:p w14:paraId="03045F2F" w14:textId="77777777" w:rsidR="00E373C8" w:rsidRDefault="00C808E5">
            <w:pPr>
              <w:spacing w:after="40"/>
              <w:jc w:val="both"/>
            </w:pPr>
            <w:r>
              <w:rPr>
                <w:sz w:val="18"/>
                <w:szCs w:val="18"/>
              </w:rPr>
              <w:t>Visualización</w:t>
            </w:r>
          </w:p>
        </w:tc>
        <w:tc>
          <w:tcPr>
            <w:tcW w:w="2200" w:type="dxa"/>
          </w:tcPr>
          <w:p w14:paraId="59C4321D" w14:textId="77777777" w:rsidR="00E373C8" w:rsidRDefault="00C808E5">
            <w:pPr>
              <w:spacing w:after="40"/>
              <w:jc w:val="both"/>
            </w:pPr>
            <w:r>
              <w:rPr>
                <w:sz w:val="18"/>
                <w:szCs w:val="18"/>
              </w:rPr>
              <w:t xml:space="preserve">Cuadros de mando con </w:t>
            </w:r>
            <w:proofErr w:type="spellStart"/>
            <w:r>
              <w:rPr>
                <w:sz w:val="18"/>
                <w:szCs w:val="18"/>
              </w:rPr>
              <w:t>KPIs</w:t>
            </w:r>
            <w:proofErr w:type="spellEnd"/>
            <w:r>
              <w:rPr>
                <w:sz w:val="18"/>
                <w:szCs w:val="18"/>
              </w:rPr>
              <w:t xml:space="preserve"> interactivos (Few, 2012).</w:t>
            </w:r>
          </w:p>
        </w:tc>
      </w:tr>
      <w:tr w:rsidR="00E373C8" w14:paraId="25408810" w14:textId="77777777">
        <w:tblPrEx>
          <w:tblCellMar>
            <w:top w:w="0" w:type="dxa"/>
            <w:bottom w:w="0" w:type="dxa"/>
          </w:tblCellMar>
        </w:tblPrEx>
        <w:tc>
          <w:tcPr>
            <w:tcW w:w="1200" w:type="dxa"/>
          </w:tcPr>
          <w:p w14:paraId="21DAFF1C" w14:textId="77777777" w:rsidR="00E373C8" w:rsidRDefault="00C808E5">
            <w:pPr>
              <w:spacing w:after="40"/>
              <w:jc w:val="both"/>
            </w:pPr>
            <w:r>
              <w:rPr>
                <w:sz w:val="18"/>
                <w:szCs w:val="18"/>
              </w:rPr>
              <w:t>Python (pandas)</w:t>
            </w:r>
          </w:p>
        </w:tc>
        <w:tc>
          <w:tcPr>
            <w:tcW w:w="1300" w:type="dxa"/>
          </w:tcPr>
          <w:p w14:paraId="697999E1" w14:textId="77777777" w:rsidR="00E373C8" w:rsidRDefault="00C808E5">
            <w:pPr>
              <w:spacing w:after="40"/>
              <w:jc w:val="both"/>
            </w:pPr>
            <w:r>
              <w:rPr>
                <w:sz w:val="18"/>
                <w:szCs w:val="18"/>
              </w:rPr>
              <w:t>Analítica</w:t>
            </w:r>
          </w:p>
        </w:tc>
        <w:tc>
          <w:tcPr>
            <w:tcW w:w="2200" w:type="dxa"/>
          </w:tcPr>
          <w:p w14:paraId="79113C3A" w14:textId="77777777" w:rsidR="00E373C8" w:rsidRDefault="00C808E5">
            <w:pPr>
              <w:spacing w:after="40"/>
              <w:jc w:val="both"/>
            </w:pPr>
            <w:r>
              <w:rPr>
                <w:sz w:val="18"/>
                <w:szCs w:val="18"/>
              </w:rPr>
              <w:t>Limpieza e imputación de datos tabulares (McKinney, 2017).</w:t>
            </w:r>
          </w:p>
        </w:tc>
      </w:tr>
      <w:tr w:rsidR="00E373C8" w14:paraId="15E73430" w14:textId="77777777">
        <w:tblPrEx>
          <w:tblCellMar>
            <w:top w:w="0" w:type="dxa"/>
            <w:bottom w:w="0" w:type="dxa"/>
          </w:tblCellMar>
        </w:tblPrEx>
        <w:tc>
          <w:tcPr>
            <w:tcW w:w="1200" w:type="dxa"/>
          </w:tcPr>
          <w:p w14:paraId="37B0A58E" w14:textId="77777777" w:rsidR="00E373C8" w:rsidRDefault="00C808E5">
            <w:pPr>
              <w:spacing w:after="40"/>
              <w:jc w:val="both"/>
            </w:pPr>
            <w:proofErr w:type="spellStart"/>
            <w:r>
              <w:rPr>
                <w:sz w:val="18"/>
                <w:szCs w:val="18"/>
              </w:rPr>
              <w:t>Snowflake</w:t>
            </w:r>
            <w:proofErr w:type="spellEnd"/>
          </w:p>
        </w:tc>
        <w:tc>
          <w:tcPr>
            <w:tcW w:w="1300" w:type="dxa"/>
          </w:tcPr>
          <w:p w14:paraId="0ECC06F7" w14:textId="77777777" w:rsidR="00E373C8" w:rsidRDefault="00C808E5">
            <w:pPr>
              <w:spacing w:after="40"/>
              <w:jc w:val="both"/>
            </w:pPr>
            <w:r>
              <w:rPr>
                <w:sz w:val="18"/>
                <w:szCs w:val="18"/>
              </w:rPr>
              <w:t>Ingeniería</w:t>
            </w:r>
          </w:p>
        </w:tc>
        <w:tc>
          <w:tcPr>
            <w:tcW w:w="2200" w:type="dxa"/>
          </w:tcPr>
          <w:p w14:paraId="4433E50E" w14:textId="77777777" w:rsidR="00E373C8" w:rsidRDefault="00C808E5">
            <w:pPr>
              <w:spacing w:after="40"/>
              <w:jc w:val="both"/>
            </w:pPr>
            <w:r>
              <w:rPr>
                <w:sz w:val="18"/>
                <w:szCs w:val="18"/>
              </w:rPr>
              <w:t xml:space="preserve">Motor </w:t>
            </w:r>
            <w:proofErr w:type="spellStart"/>
            <w:r>
              <w:rPr>
                <w:sz w:val="18"/>
                <w:szCs w:val="18"/>
              </w:rPr>
              <w:t>cloud</w:t>
            </w:r>
            <w:proofErr w:type="spellEnd"/>
            <w:r>
              <w:rPr>
                <w:sz w:val="18"/>
                <w:szCs w:val="18"/>
              </w:rPr>
              <w:t xml:space="preserve"> para el modelado analítico de esquemas.</w:t>
            </w:r>
          </w:p>
        </w:tc>
      </w:tr>
      <w:tr w:rsidR="00E373C8" w14:paraId="4BF38D42" w14:textId="77777777">
        <w:tblPrEx>
          <w:tblCellMar>
            <w:top w:w="0" w:type="dxa"/>
            <w:bottom w:w="0" w:type="dxa"/>
          </w:tblCellMar>
        </w:tblPrEx>
        <w:tc>
          <w:tcPr>
            <w:tcW w:w="1200" w:type="dxa"/>
          </w:tcPr>
          <w:p w14:paraId="61C9D0B4" w14:textId="77777777" w:rsidR="00E373C8" w:rsidRDefault="00C808E5">
            <w:pPr>
              <w:spacing w:after="40"/>
              <w:jc w:val="both"/>
            </w:pPr>
            <w:r>
              <w:rPr>
                <w:sz w:val="18"/>
                <w:szCs w:val="18"/>
              </w:rPr>
              <w:t>Apache Spark</w:t>
            </w:r>
          </w:p>
        </w:tc>
        <w:tc>
          <w:tcPr>
            <w:tcW w:w="1300" w:type="dxa"/>
          </w:tcPr>
          <w:p w14:paraId="16587D3C" w14:textId="77777777" w:rsidR="00E373C8" w:rsidRDefault="00C808E5">
            <w:pPr>
              <w:spacing w:after="40"/>
              <w:jc w:val="both"/>
            </w:pPr>
            <w:r>
              <w:rPr>
                <w:sz w:val="18"/>
                <w:szCs w:val="18"/>
              </w:rPr>
              <w:t>Procesamiento</w:t>
            </w:r>
          </w:p>
        </w:tc>
        <w:tc>
          <w:tcPr>
            <w:tcW w:w="2200" w:type="dxa"/>
          </w:tcPr>
          <w:p w14:paraId="5BC9133A" w14:textId="77777777" w:rsidR="00E373C8" w:rsidRDefault="00C808E5">
            <w:pPr>
              <w:spacing w:after="40"/>
              <w:jc w:val="both"/>
            </w:pPr>
            <w:r>
              <w:rPr>
                <w:sz w:val="18"/>
                <w:szCs w:val="18"/>
              </w:rPr>
              <w:t>Procesamiento distribuido en memoria a gran escala (Armbrust et al., 2021).</w:t>
            </w:r>
          </w:p>
        </w:tc>
      </w:tr>
      <w:tr w:rsidR="00E373C8" w14:paraId="11DC1EAF" w14:textId="77777777">
        <w:tblPrEx>
          <w:tblCellMar>
            <w:top w:w="0" w:type="dxa"/>
            <w:bottom w:w="0" w:type="dxa"/>
          </w:tblCellMar>
        </w:tblPrEx>
        <w:tc>
          <w:tcPr>
            <w:tcW w:w="1200" w:type="dxa"/>
          </w:tcPr>
          <w:p w14:paraId="597EFA1C" w14:textId="77777777" w:rsidR="00E373C8" w:rsidRDefault="00C808E5">
            <w:pPr>
              <w:spacing w:after="40"/>
              <w:jc w:val="both"/>
            </w:pPr>
            <w:r>
              <w:rPr>
                <w:sz w:val="18"/>
                <w:szCs w:val="18"/>
              </w:rPr>
              <w:t xml:space="preserve">Apache </w:t>
            </w:r>
            <w:proofErr w:type="spellStart"/>
            <w:r>
              <w:rPr>
                <w:sz w:val="18"/>
                <w:szCs w:val="18"/>
              </w:rPr>
              <w:t>Airflow</w:t>
            </w:r>
            <w:proofErr w:type="spellEnd"/>
          </w:p>
        </w:tc>
        <w:tc>
          <w:tcPr>
            <w:tcW w:w="1300" w:type="dxa"/>
          </w:tcPr>
          <w:p w14:paraId="774DFBE7" w14:textId="77777777" w:rsidR="00E373C8" w:rsidRDefault="00C808E5">
            <w:pPr>
              <w:spacing w:after="40"/>
              <w:jc w:val="both"/>
            </w:pPr>
            <w:r>
              <w:rPr>
                <w:sz w:val="18"/>
                <w:szCs w:val="18"/>
              </w:rPr>
              <w:t>Orquestación</w:t>
            </w:r>
          </w:p>
        </w:tc>
        <w:tc>
          <w:tcPr>
            <w:tcW w:w="2200" w:type="dxa"/>
          </w:tcPr>
          <w:p w14:paraId="05C5D72A" w14:textId="77777777" w:rsidR="00E373C8" w:rsidRDefault="00C808E5">
            <w:pPr>
              <w:spacing w:after="40"/>
              <w:jc w:val="both"/>
            </w:pPr>
            <w:r>
              <w:rPr>
                <w:sz w:val="18"/>
                <w:szCs w:val="18"/>
              </w:rPr>
              <w:t>Automatización y monitoreo de pipelines (Machado et al., 2022).</w:t>
            </w:r>
          </w:p>
        </w:tc>
      </w:tr>
      <w:tr w:rsidR="00E373C8" w14:paraId="2E577B8A" w14:textId="77777777">
        <w:tblPrEx>
          <w:tblCellMar>
            <w:top w:w="0" w:type="dxa"/>
            <w:bottom w:w="0" w:type="dxa"/>
          </w:tblCellMar>
        </w:tblPrEx>
        <w:tc>
          <w:tcPr>
            <w:tcW w:w="1200" w:type="dxa"/>
          </w:tcPr>
          <w:p w14:paraId="4491CA6F" w14:textId="77777777" w:rsidR="00E373C8" w:rsidRDefault="00C808E5">
            <w:pPr>
              <w:spacing w:after="40"/>
              <w:jc w:val="both"/>
            </w:pPr>
            <w:r>
              <w:rPr>
                <w:sz w:val="18"/>
                <w:szCs w:val="18"/>
              </w:rPr>
              <w:t>Delta Lake / Iceberg</w:t>
            </w:r>
          </w:p>
        </w:tc>
        <w:tc>
          <w:tcPr>
            <w:tcW w:w="1300" w:type="dxa"/>
          </w:tcPr>
          <w:p w14:paraId="280FDA45" w14:textId="77777777" w:rsidR="00E373C8" w:rsidRDefault="00C808E5">
            <w:pPr>
              <w:spacing w:after="40"/>
              <w:jc w:val="both"/>
            </w:pPr>
            <w:r>
              <w:rPr>
                <w:sz w:val="18"/>
                <w:szCs w:val="18"/>
              </w:rPr>
              <w:t>Ingeniería</w:t>
            </w:r>
          </w:p>
        </w:tc>
        <w:tc>
          <w:tcPr>
            <w:tcW w:w="2200" w:type="dxa"/>
          </w:tcPr>
          <w:p w14:paraId="033549A9" w14:textId="77777777" w:rsidR="00E373C8" w:rsidRDefault="00C808E5">
            <w:pPr>
              <w:spacing w:after="40"/>
              <w:jc w:val="both"/>
            </w:pPr>
            <w:r>
              <w:rPr>
                <w:sz w:val="18"/>
                <w:szCs w:val="18"/>
              </w:rPr>
              <w:t>Formato de tabla abierto con soporte transaccional ACID sobre el Data Lake (Armbrust et al., 2020).</w:t>
            </w:r>
          </w:p>
        </w:tc>
      </w:tr>
    </w:tbl>
    <w:p w14:paraId="6D2B17E0" w14:textId="77777777" w:rsidR="00E373C8" w:rsidRDefault="00C808E5">
      <w:pPr>
        <w:spacing w:before="80" w:after="60"/>
        <w:jc w:val="center"/>
      </w:pPr>
      <w:r>
        <w:rPr>
          <w:b/>
          <w:bCs/>
          <w:sz w:val="18"/>
          <w:szCs w:val="18"/>
        </w:rPr>
        <w:t>TABLA III. TECNOLOGÍAS DEL ECOSISTEMA UNIFICADO</w:t>
      </w:r>
    </w:p>
    <w:p w14:paraId="293FECCE" w14:textId="77777777" w:rsidR="00E373C8" w:rsidRDefault="00C808E5">
      <w:pPr>
        <w:pStyle w:val="Prrafodelista"/>
        <w:numPr>
          <w:ilvl w:val="0"/>
          <w:numId w:val="2"/>
        </w:numPr>
        <w:spacing w:before="160" w:after="80"/>
      </w:pPr>
      <w:r>
        <w:rPr>
          <w:b/>
          <w:bCs/>
        </w:rPr>
        <w:t>Tendencias Tecnológicas y Horizonte Futuro (2025-2030)</w:t>
      </w:r>
    </w:p>
    <w:p w14:paraId="146C5B34" w14:textId="77777777" w:rsidR="00E373C8" w:rsidRDefault="00C808E5">
      <w:pPr>
        <w:spacing w:before="100" w:after="40"/>
        <w:jc w:val="both"/>
      </w:pPr>
      <w:r>
        <w:rPr>
          <w:b/>
          <w:bCs/>
          <w:i/>
          <w:iCs/>
        </w:rPr>
        <w:t>VIII-A.  Inteligencia Artificial Integrada al Pipeline</w:t>
      </w:r>
    </w:p>
    <w:p w14:paraId="1BF38E7E" w14:textId="77777777" w:rsidR="00E373C8" w:rsidRDefault="00C808E5">
      <w:pPr>
        <w:spacing w:after="60"/>
        <w:ind w:firstLine="432"/>
        <w:jc w:val="both"/>
      </w:pPr>
      <w:r>
        <w:t>Las tendencias dominantes apuntan hacia la automatización y la descentralización. La inteligencia artificial se integra en toda la cadena, desde herramientas que automatizan la limpieza de datos hasta sistemas conversacionales de visualización que permiten extraer hallazgos mediante lenguaje natural (Cairo, 2019); sin embargo, el criterio humano sobre diseño dimensional y gobernanza sigue siendo insustituible (Kimball &amp; Ross, 2013).</w:t>
      </w:r>
    </w:p>
    <w:p w14:paraId="69AE3EE1" w14:textId="77777777" w:rsidR="00E373C8" w:rsidRDefault="00C808E5">
      <w:pPr>
        <w:spacing w:before="100" w:after="40"/>
        <w:jc w:val="both"/>
      </w:pPr>
      <w:r>
        <w:rPr>
          <w:b/>
          <w:bCs/>
          <w:i/>
          <w:iCs/>
        </w:rPr>
        <w:t>VIII-B.  Data Mesh y Descentralización</w:t>
      </w:r>
    </w:p>
    <w:p w14:paraId="5CAF2609" w14:textId="77777777" w:rsidR="00E373C8" w:rsidRDefault="00C808E5">
      <w:pPr>
        <w:spacing w:after="60"/>
        <w:ind w:firstLine="432"/>
        <w:jc w:val="both"/>
      </w:pPr>
      <w:r>
        <w:t>El paradigma Data Mesh propone que cada dominio trate su información como un producto de datos independiente con contratos de calidad explícitos, mejorando el linaje organizacional y reduciendo los cuellos de botella de los equipos centrales de datos (Dehghani, 2022).</w:t>
      </w:r>
    </w:p>
    <w:p w14:paraId="4653217A" w14:textId="77777777" w:rsidR="00E373C8" w:rsidRDefault="00C808E5">
      <w:pPr>
        <w:spacing w:before="100" w:after="40"/>
        <w:jc w:val="both"/>
      </w:pPr>
      <w:r>
        <w:rPr>
          <w:b/>
          <w:bCs/>
          <w:i/>
          <w:iCs/>
        </w:rPr>
        <w:t>VIII-C.  Consolidación de Formatos Abiertos</w:t>
      </w:r>
    </w:p>
    <w:p w14:paraId="7E3828F9" w14:textId="77777777" w:rsidR="00E373C8" w:rsidRDefault="00C808E5">
      <w:pPr>
        <w:spacing w:after="60"/>
        <w:ind w:firstLine="432"/>
        <w:jc w:val="both"/>
      </w:pPr>
      <w:r>
        <w:t>La consolidación de formatos de tabla abiertos como Delta Lake e Iceberg apunta a un futuro donde múltiples motores analíticos convergen sobre un mismo repositorio centralizado, eliminando la dependencia de un único proveedor y reduciendo la duplicación de datos entre plataformas (Jain et al., 2023).</w:t>
      </w:r>
    </w:p>
    <w:p w14:paraId="4B88C8A0" w14:textId="77777777" w:rsidR="00E373C8" w:rsidRDefault="00C808E5">
      <w:pPr>
        <w:pStyle w:val="Prrafodelista"/>
        <w:numPr>
          <w:ilvl w:val="0"/>
          <w:numId w:val="2"/>
        </w:numPr>
        <w:spacing w:before="160" w:after="80"/>
      </w:pPr>
      <w:r>
        <w:rPr>
          <w:b/>
          <w:bCs/>
        </w:rPr>
        <w:t>Conclusiones</w:t>
      </w:r>
    </w:p>
    <w:p w14:paraId="598578D1" w14:textId="77777777" w:rsidR="00E373C8" w:rsidRDefault="00C808E5">
      <w:pPr>
        <w:spacing w:after="60"/>
        <w:ind w:firstLine="432"/>
        <w:jc w:val="both"/>
      </w:pPr>
      <w:r>
        <w:t>La Ingeniería de Datos, la Analítica y la Visualización no operan de forma aislada, sino como una infraestructura unificada donde la calidad del diseño arquitectónico en las capas iniciales determina la validez de las decisiones corporativas finales.</w:t>
      </w:r>
    </w:p>
    <w:p w14:paraId="7078C9D5" w14:textId="77777777" w:rsidR="00E373C8" w:rsidRDefault="00C808E5">
      <w:pPr>
        <w:spacing w:after="60"/>
        <w:ind w:firstLine="432"/>
        <w:jc w:val="both"/>
      </w:pPr>
      <w:r>
        <w:t>La combinación de la Arquitectura Medallón con el modelado dimensional de Kimball ofrece un marco robusto que evita la degradación de los repositorios analíticos y permite un gobierno efectivo de la información.</w:t>
      </w:r>
    </w:p>
    <w:p w14:paraId="64E3DD66" w14:textId="77777777" w:rsidR="00E373C8" w:rsidRDefault="00C808E5">
      <w:pPr>
        <w:spacing w:after="60"/>
        <w:ind w:firstLine="432"/>
        <w:jc w:val="both"/>
      </w:pPr>
      <w:r>
        <w:t xml:space="preserve">Los casos revisados en los sectores financiero, </w:t>
      </w:r>
      <w:proofErr w:type="spellStart"/>
      <w:r>
        <w:t>retail</w:t>
      </w:r>
      <w:proofErr w:type="spellEnd"/>
      <w:r>
        <w:t xml:space="preserve"> y educativo confirman que el valor de estas arquitecturas no es exclusivamente técnico: su adopción exitosa depende igualmente de la gobernanza organizacional y de la claridad con que se comunican los hallazgos mediante visualizaciones efectivas.</w:t>
      </w:r>
    </w:p>
    <w:p w14:paraId="14B176FC" w14:textId="77777777" w:rsidR="00E373C8" w:rsidRDefault="00C808E5">
      <w:pPr>
        <w:spacing w:after="60"/>
        <w:ind w:firstLine="432"/>
        <w:jc w:val="both"/>
      </w:pPr>
      <w:r>
        <w:t>El avance de los formatos de tabla abiertos y del paradigma Data Mesh incrementa la necesidad de que los futuros profesionales de Ciencias de la Computación posean un criterio metodológico sólido para estructurar datos íntegros y confiables.</w:t>
      </w:r>
    </w:p>
    <w:p w14:paraId="772E6EB8" w14:textId="77777777" w:rsidR="00E373C8" w:rsidRDefault="00C808E5">
      <w:pPr>
        <w:spacing w:before="160" w:after="80"/>
      </w:pPr>
      <w:r>
        <w:rPr>
          <w:b/>
          <w:bCs/>
        </w:rPr>
        <w:lastRenderedPageBreak/>
        <w:t>Referencias</w:t>
      </w:r>
    </w:p>
    <w:p w14:paraId="4B5A8C7E" w14:textId="77777777" w:rsidR="00E373C8" w:rsidRDefault="00C808E5">
      <w:pPr>
        <w:spacing w:after="80"/>
        <w:ind w:left="200" w:hanging="200"/>
        <w:jc w:val="both"/>
      </w:pPr>
      <w:r>
        <w:rPr>
          <w:sz w:val="18"/>
          <w:szCs w:val="18"/>
        </w:rPr>
        <w:t xml:space="preserve">Armbrust, M., Das, T., </w:t>
      </w:r>
      <w:proofErr w:type="spellStart"/>
      <w:r>
        <w:rPr>
          <w:sz w:val="18"/>
          <w:szCs w:val="18"/>
        </w:rPr>
        <w:t>Sun</w:t>
      </w:r>
      <w:proofErr w:type="spellEnd"/>
      <w:r>
        <w:rPr>
          <w:sz w:val="18"/>
          <w:szCs w:val="18"/>
        </w:rPr>
        <w:t xml:space="preserve">, L., Yavuz, B., Zhu, S., Murthy, M., Torres, J., van Hovell, H., Ionescu, A., </w:t>
      </w:r>
      <w:proofErr w:type="spellStart"/>
      <w:r>
        <w:rPr>
          <w:sz w:val="18"/>
          <w:szCs w:val="18"/>
        </w:rPr>
        <w:t>Łuszczak</w:t>
      </w:r>
      <w:proofErr w:type="spellEnd"/>
      <w:r>
        <w:rPr>
          <w:sz w:val="18"/>
          <w:szCs w:val="18"/>
        </w:rPr>
        <w:t xml:space="preserve">, A., </w:t>
      </w:r>
      <w:proofErr w:type="spellStart"/>
      <w:r>
        <w:rPr>
          <w:sz w:val="18"/>
          <w:szCs w:val="18"/>
        </w:rPr>
        <w:t>Świtakowski</w:t>
      </w:r>
      <w:proofErr w:type="spellEnd"/>
      <w:r>
        <w:rPr>
          <w:sz w:val="18"/>
          <w:szCs w:val="18"/>
        </w:rPr>
        <w:t xml:space="preserve">, M., Szafrański, M., Li, X., </w:t>
      </w:r>
      <w:proofErr w:type="spellStart"/>
      <w:r>
        <w:rPr>
          <w:sz w:val="18"/>
          <w:szCs w:val="18"/>
        </w:rPr>
        <w:t>Ueshin</w:t>
      </w:r>
      <w:proofErr w:type="spellEnd"/>
      <w:r>
        <w:rPr>
          <w:sz w:val="18"/>
          <w:szCs w:val="18"/>
        </w:rPr>
        <w:t xml:space="preserve">, T., Mokhtar, M., Boncz, P., Ghodsi, A., </w:t>
      </w:r>
      <w:proofErr w:type="spellStart"/>
      <w:r>
        <w:rPr>
          <w:sz w:val="18"/>
          <w:szCs w:val="18"/>
        </w:rPr>
        <w:t>Paranjpye</w:t>
      </w:r>
      <w:proofErr w:type="spellEnd"/>
      <w:r>
        <w:rPr>
          <w:sz w:val="18"/>
          <w:szCs w:val="18"/>
        </w:rPr>
        <w:t xml:space="preserve">, S., </w:t>
      </w:r>
      <w:proofErr w:type="spellStart"/>
      <w:r>
        <w:rPr>
          <w:sz w:val="18"/>
          <w:szCs w:val="18"/>
        </w:rPr>
        <w:t>Senster</w:t>
      </w:r>
      <w:proofErr w:type="spellEnd"/>
      <w:r>
        <w:rPr>
          <w:sz w:val="18"/>
          <w:szCs w:val="18"/>
        </w:rPr>
        <w:t xml:space="preserve">, P., Xin, R., &amp; Zaharia, M. (2020). Delta Lake: High-performance ACID table </w:t>
      </w:r>
      <w:proofErr w:type="spellStart"/>
      <w:r>
        <w:rPr>
          <w:sz w:val="18"/>
          <w:szCs w:val="18"/>
        </w:rPr>
        <w:t>storage</w:t>
      </w:r>
      <w:proofErr w:type="spellEnd"/>
      <w:r>
        <w:rPr>
          <w:sz w:val="18"/>
          <w:szCs w:val="18"/>
        </w:rPr>
        <w:t xml:space="preserve"> </w:t>
      </w:r>
      <w:proofErr w:type="spellStart"/>
      <w:r>
        <w:rPr>
          <w:sz w:val="18"/>
          <w:szCs w:val="18"/>
        </w:rPr>
        <w:t>over</w:t>
      </w:r>
      <w:proofErr w:type="spellEnd"/>
      <w:r>
        <w:rPr>
          <w:sz w:val="18"/>
          <w:szCs w:val="18"/>
        </w:rPr>
        <w:t xml:space="preserve"> </w:t>
      </w:r>
      <w:proofErr w:type="spellStart"/>
      <w:r>
        <w:rPr>
          <w:sz w:val="18"/>
          <w:szCs w:val="18"/>
        </w:rPr>
        <w:t>cloud</w:t>
      </w:r>
      <w:proofErr w:type="spellEnd"/>
      <w:r>
        <w:rPr>
          <w:sz w:val="18"/>
          <w:szCs w:val="18"/>
        </w:rPr>
        <w:t xml:space="preserve"> </w:t>
      </w:r>
      <w:proofErr w:type="spellStart"/>
      <w:r>
        <w:rPr>
          <w:sz w:val="18"/>
          <w:szCs w:val="18"/>
        </w:rPr>
        <w:t>object</w:t>
      </w:r>
      <w:proofErr w:type="spellEnd"/>
      <w:r>
        <w:rPr>
          <w:sz w:val="18"/>
          <w:szCs w:val="18"/>
        </w:rPr>
        <w:t xml:space="preserve"> </w:t>
      </w:r>
      <w:proofErr w:type="spellStart"/>
      <w:r>
        <w:rPr>
          <w:sz w:val="18"/>
          <w:szCs w:val="18"/>
        </w:rPr>
        <w:t>stores</w:t>
      </w:r>
      <w:proofErr w:type="spellEnd"/>
      <w:r>
        <w:rPr>
          <w:sz w:val="18"/>
          <w:szCs w:val="18"/>
        </w:rPr>
        <w:t xml:space="preserve">. </w:t>
      </w:r>
      <w:proofErr w:type="spellStart"/>
      <w:r>
        <w:rPr>
          <w:sz w:val="18"/>
          <w:szCs w:val="18"/>
        </w:rPr>
        <w:t>Proceedings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VLDB </w:t>
      </w:r>
      <w:proofErr w:type="spellStart"/>
      <w:r>
        <w:rPr>
          <w:sz w:val="18"/>
          <w:szCs w:val="18"/>
        </w:rPr>
        <w:t>Endowment</w:t>
      </w:r>
      <w:proofErr w:type="spellEnd"/>
      <w:r>
        <w:rPr>
          <w:sz w:val="18"/>
          <w:szCs w:val="18"/>
        </w:rPr>
        <w:t>, 13(12), 3411-3424.</w:t>
      </w:r>
    </w:p>
    <w:p w14:paraId="6BCC9D28" w14:textId="77777777" w:rsidR="00E373C8" w:rsidRDefault="00C808E5">
      <w:pPr>
        <w:spacing w:after="80"/>
        <w:ind w:left="200" w:hanging="200"/>
        <w:jc w:val="both"/>
      </w:pPr>
      <w:r>
        <w:rPr>
          <w:sz w:val="18"/>
          <w:szCs w:val="18"/>
        </w:rPr>
        <w:t xml:space="preserve">Armbrust, M., Ghodsi, A., Xin, R., &amp; Zaharia, M. (2021). </w:t>
      </w:r>
      <w:proofErr w:type="spellStart"/>
      <w:r>
        <w:rPr>
          <w:sz w:val="18"/>
          <w:szCs w:val="18"/>
        </w:rPr>
        <w:t>Lakehouse</w:t>
      </w:r>
      <w:proofErr w:type="spellEnd"/>
      <w:r>
        <w:rPr>
          <w:sz w:val="18"/>
          <w:szCs w:val="18"/>
        </w:rPr>
        <w:t xml:space="preserve">: A new </w:t>
      </w:r>
      <w:proofErr w:type="spellStart"/>
      <w:r>
        <w:rPr>
          <w:sz w:val="18"/>
          <w:szCs w:val="18"/>
        </w:rPr>
        <w:t>generation</w:t>
      </w:r>
      <w:proofErr w:type="spellEnd"/>
      <w:r>
        <w:rPr>
          <w:sz w:val="18"/>
          <w:szCs w:val="18"/>
        </w:rPr>
        <w:t xml:space="preserve"> </w:t>
      </w:r>
      <w:proofErr w:type="spellStart"/>
      <w:r>
        <w:rPr>
          <w:sz w:val="18"/>
          <w:szCs w:val="18"/>
        </w:rPr>
        <w:t>of</w:t>
      </w:r>
      <w:proofErr w:type="spellEnd"/>
      <w:r>
        <w:rPr>
          <w:sz w:val="18"/>
          <w:szCs w:val="18"/>
        </w:rPr>
        <w:t xml:space="preserve"> open </w:t>
      </w:r>
      <w:proofErr w:type="spellStart"/>
      <w:r>
        <w:rPr>
          <w:sz w:val="18"/>
          <w:szCs w:val="18"/>
        </w:rPr>
        <w:t>platforms</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unify</w:t>
      </w:r>
      <w:proofErr w:type="spellEnd"/>
      <w:r>
        <w:rPr>
          <w:sz w:val="18"/>
          <w:szCs w:val="18"/>
        </w:rPr>
        <w:t xml:space="preserve"> data </w:t>
      </w:r>
      <w:proofErr w:type="spellStart"/>
      <w:r>
        <w:rPr>
          <w:sz w:val="18"/>
          <w:szCs w:val="18"/>
        </w:rPr>
        <w:t>warehousing</w:t>
      </w:r>
      <w:proofErr w:type="spellEnd"/>
      <w:r>
        <w:rPr>
          <w:sz w:val="18"/>
          <w:szCs w:val="18"/>
        </w:rPr>
        <w:t xml:space="preserve"> and </w:t>
      </w:r>
      <w:proofErr w:type="spellStart"/>
      <w:r>
        <w:rPr>
          <w:sz w:val="18"/>
          <w:szCs w:val="18"/>
        </w:rPr>
        <w:t>advanced</w:t>
      </w:r>
      <w:proofErr w:type="spellEnd"/>
      <w:r>
        <w:rPr>
          <w:sz w:val="18"/>
          <w:szCs w:val="18"/>
        </w:rPr>
        <w:t xml:space="preserve"> </w:t>
      </w:r>
      <w:proofErr w:type="spellStart"/>
      <w:r>
        <w:rPr>
          <w:sz w:val="18"/>
          <w:szCs w:val="18"/>
        </w:rPr>
        <w:t>analytics</w:t>
      </w:r>
      <w:proofErr w:type="spellEnd"/>
      <w:r>
        <w:rPr>
          <w:sz w:val="18"/>
          <w:szCs w:val="18"/>
        </w:rPr>
        <w:t xml:space="preserve">. 11th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Innovative Data </w:t>
      </w:r>
      <w:proofErr w:type="spellStart"/>
      <w:r>
        <w:rPr>
          <w:sz w:val="18"/>
          <w:szCs w:val="18"/>
        </w:rPr>
        <w:t>Systems</w:t>
      </w:r>
      <w:proofErr w:type="spellEnd"/>
      <w:r>
        <w:rPr>
          <w:sz w:val="18"/>
          <w:szCs w:val="18"/>
        </w:rPr>
        <w:t xml:space="preserve"> </w:t>
      </w:r>
      <w:proofErr w:type="spellStart"/>
      <w:r>
        <w:rPr>
          <w:sz w:val="18"/>
          <w:szCs w:val="18"/>
        </w:rPr>
        <w:t>Research</w:t>
      </w:r>
      <w:proofErr w:type="spellEnd"/>
      <w:r>
        <w:rPr>
          <w:sz w:val="18"/>
          <w:szCs w:val="18"/>
        </w:rPr>
        <w:t xml:space="preserve"> (CIDR 2021), 1–15.</w:t>
      </w:r>
    </w:p>
    <w:p w14:paraId="23B5EA24" w14:textId="77777777" w:rsidR="00E373C8" w:rsidRDefault="00C808E5">
      <w:pPr>
        <w:spacing w:after="80"/>
        <w:ind w:left="200" w:hanging="200"/>
        <w:jc w:val="both"/>
      </w:pPr>
      <w:r>
        <w:rPr>
          <w:sz w:val="18"/>
          <w:szCs w:val="18"/>
        </w:rPr>
        <w:t xml:space="preserve">Cairo, A. (2019). How Charts Lie: Getting </w:t>
      </w:r>
      <w:proofErr w:type="spellStart"/>
      <w:r>
        <w:rPr>
          <w:sz w:val="18"/>
          <w:szCs w:val="18"/>
        </w:rPr>
        <w:t>Smarter</w:t>
      </w:r>
      <w:proofErr w:type="spellEnd"/>
      <w:r>
        <w:rPr>
          <w:sz w:val="18"/>
          <w:szCs w:val="18"/>
        </w:rPr>
        <w:t xml:space="preserve"> </w:t>
      </w:r>
      <w:proofErr w:type="spellStart"/>
      <w:r>
        <w:rPr>
          <w:sz w:val="18"/>
          <w:szCs w:val="18"/>
        </w:rPr>
        <w:t>about</w:t>
      </w:r>
      <w:proofErr w:type="spellEnd"/>
      <w:r>
        <w:rPr>
          <w:sz w:val="18"/>
          <w:szCs w:val="18"/>
        </w:rPr>
        <w:t xml:space="preserve"> Visual </w:t>
      </w:r>
      <w:proofErr w:type="spellStart"/>
      <w:r>
        <w:rPr>
          <w:sz w:val="18"/>
          <w:szCs w:val="18"/>
        </w:rPr>
        <w:t>Information</w:t>
      </w:r>
      <w:proofErr w:type="spellEnd"/>
      <w:r>
        <w:rPr>
          <w:sz w:val="18"/>
          <w:szCs w:val="18"/>
        </w:rPr>
        <w:t>. W. W. Norton &amp; Company.</w:t>
      </w:r>
    </w:p>
    <w:p w14:paraId="14E41C0E" w14:textId="77777777" w:rsidR="00E373C8" w:rsidRDefault="00C808E5">
      <w:pPr>
        <w:spacing w:after="80"/>
        <w:ind w:left="200" w:hanging="200"/>
        <w:jc w:val="both"/>
      </w:pPr>
      <w:r>
        <w:rPr>
          <w:sz w:val="18"/>
          <w:szCs w:val="18"/>
        </w:rPr>
        <w:t xml:space="preserve">Dehghani, Z. (2022). Data Mesh: </w:t>
      </w:r>
      <w:proofErr w:type="spellStart"/>
      <w:r>
        <w:rPr>
          <w:sz w:val="18"/>
          <w:szCs w:val="18"/>
        </w:rPr>
        <w:t>Delivering</w:t>
      </w:r>
      <w:proofErr w:type="spellEnd"/>
      <w:r>
        <w:rPr>
          <w:sz w:val="18"/>
          <w:szCs w:val="18"/>
        </w:rPr>
        <w:t xml:space="preserve"> Data-</w:t>
      </w:r>
      <w:proofErr w:type="spellStart"/>
      <w:r>
        <w:rPr>
          <w:sz w:val="18"/>
          <w:szCs w:val="18"/>
        </w:rPr>
        <w:t>Driven</w:t>
      </w:r>
      <w:proofErr w:type="spellEnd"/>
      <w:r>
        <w:rPr>
          <w:sz w:val="18"/>
          <w:szCs w:val="18"/>
        </w:rPr>
        <w:t xml:space="preserve"> </w:t>
      </w:r>
      <w:proofErr w:type="spellStart"/>
      <w:r>
        <w:rPr>
          <w:sz w:val="18"/>
          <w:szCs w:val="18"/>
        </w:rPr>
        <w:t>Value</w:t>
      </w:r>
      <w:proofErr w:type="spellEnd"/>
      <w:r>
        <w:rPr>
          <w:sz w:val="18"/>
          <w:szCs w:val="18"/>
        </w:rPr>
        <w:t xml:space="preserve"> at Scale. O'Reilly Media.</w:t>
      </w:r>
    </w:p>
    <w:p w14:paraId="0E1508AD" w14:textId="77777777" w:rsidR="00E373C8" w:rsidRDefault="00C808E5">
      <w:pPr>
        <w:spacing w:after="80"/>
        <w:ind w:left="200" w:hanging="200"/>
        <w:jc w:val="both"/>
      </w:pPr>
      <w:r>
        <w:rPr>
          <w:sz w:val="18"/>
          <w:szCs w:val="18"/>
        </w:rPr>
        <w:t xml:space="preserve">Few, S. (2012). Now You See </w:t>
      </w:r>
      <w:proofErr w:type="spellStart"/>
      <w:r>
        <w:rPr>
          <w:sz w:val="18"/>
          <w:szCs w:val="18"/>
        </w:rPr>
        <w:t>It</w:t>
      </w:r>
      <w:proofErr w:type="spellEnd"/>
      <w:r>
        <w:rPr>
          <w:sz w:val="18"/>
          <w:szCs w:val="18"/>
        </w:rPr>
        <w:t xml:space="preserve">: Simple </w:t>
      </w:r>
      <w:proofErr w:type="spellStart"/>
      <w:r>
        <w:rPr>
          <w:sz w:val="18"/>
          <w:szCs w:val="18"/>
        </w:rPr>
        <w:t>Visualization</w:t>
      </w:r>
      <w:proofErr w:type="spellEnd"/>
      <w:r>
        <w:rPr>
          <w:sz w:val="18"/>
          <w:szCs w:val="18"/>
        </w:rPr>
        <w:t xml:space="preserve"> </w:t>
      </w:r>
      <w:proofErr w:type="spellStart"/>
      <w:r>
        <w:rPr>
          <w:sz w:val="18"/>
          <w:szCs w:val="18"/>
        </w:rPr>
        <w:t>Techniques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Quantitative</w:t>
      </w:r>
      <w:proofErr w:type="spellEnd"/>
      <w:r>
        <w:rPr>
          <w:sz w:val="18"/>
          <w:szCs w:val="18"/>
        </w:rPr>
        <w:t xml:space="preserve"> </w:t>
      </w:r>
      <w:proofErr w:type="spellStart"/>
      <w:r>
        <w:rPr>
          <w:sz w:val="18"/>
          <w:szCs w:val="18"/>
        </w:rPr>
        <w:t>Analysis</w:t>
      </w:r>
      <w:proofErr w:type="spellEnd"/>
      <w:r>
        <w:rPr>
          <w:sz w:val="18"/>
          <w:szCs w:val="18"/>
        </w:rPr>
        <w:t xml:space="preserve"> (2nd ed.). </w:t>
      </w:r>
      <w:proofErr w:type="spellStart"/>
      <w:r>
        <w:rPr>
          <w:sz w:val="18"/>
          <w:szCs w:val="18"/>
        </w:rPr>
        <w:t>Analytics</w:t>
      </w:r>
      <w:proofErr w:type="spellEnd"/>
      <w:r>
        <w:rPr>
          <w:sz w:val="18"/>
          <w:szCs w:val="18"/>
        </w:rPr>
        <w:t xml:space="preserve"> Press.</w:t>
      </w:r>
    </w:p>
    <w:p w14:paraId="57FA822E" w14:textId="77777777" w:rsidR="00E373C8" w:rsidRDefault="00C808E5">
      <w:pPr>
        <w:spacing w:after="80"/>
        <w:ind w:left="200" w:hanging="200"/>
        <w:jc w:val="both"/>
      </w:pPr>
      <w:r>
        <w:rPr>
          <w:sz w:val="18"/>
          <w:szCs w:val="18"/>
        </w:rPr>
        <w:t xml:space="preserve">Han, J., Kamber, M., &amp; Pei, J. (2011). Data </w:t>
      </w:r>
      <w:proofErr w:type="spellStart"/>
      <w:r>
        <w:rPr>
          <w:sz w:val="18"/>
          <w:szCs w:val="18"/>
        </w:rPr>
        <w:t>Mining</w:t>
      </w:r>
      <w:proofErr w:type="spellEnd"/>
      <w:r>
        <w:rPr>
          <w:sz w:val="18"/>
          <w:szCs w:val="18"/>
        </w:rPr>
        <w:t xml:space="preserve">: </w:t>
      </w:r>
      <w:proofErr w:type="spellStart"/>
      <w:r>
        <w:rPr>
          <w:sz w:val="18"/>
          <w:szCs w:val="18"/>
        </w:rPr>
        <w:t>Concepts</w:t>
      </w:r>
      <w:proofErr w:type="spellEnd"/>
      <w:r>
        <w:rPr>
          <w:sz w:val="18"/>
          <w:szCs w:val="18"/>
        </w:rPr>
        <w:t xml:space="preserve"> and </w:t>
      </w:r>
      <w:proofErr w:type="spellStart"/>
      <w:r>
        <w:rPr>
          <w:sz w:val="18"/>
          <w:szCs w:val="18"/>
        </w:rPr>
        <w:t>Techniques</w:t>
      </w:r>
      <w:proofErr w:type="spellEnd"/>
      <w:r>
        <w:rPr>
          <w:sz w:val="18"/>
          <w:szCs w:val="18"/>
        </w:rPr>
        <w:t xml:space="preserve"> (3rd ed.). Morgan Kaufmann.</w:t>
      </w:r>
    </w:p>
    <w:p w14:paraId="4060F46E" w14:textId="77777777" w:rsidR="00E373C8" w:rsidRDefault="00C808E5">
      <w:pPr>
        <w:spacing w:after="80"/>
        <w:ind w:left="200" w:hanging="200"/>
        <w:jc w:val="both"/>
      </w:pPr>
      <w:r>
        <w:rPr>
          <w:sz w:val="18"/>
          <w:szCs w:val="18"/>
        </w:rPr>
        <w:t xml:space="preserve">Jain, P., Kraft, P., Power, C., Das, T., Stoica, I., &amp; Zaharia, M. (2023). </w:t>
      </w:r>
      <w:proofErr w:type="spellStart"/>
      <w:r>
        <w:rPr>
          <w:sz w:val="18"/>
          <w:szCs w:val="18"/>
        </w:rPr>
        <w:t>Analyzing</w:t>
      </w:r>
      <w:proofErr w:type="spellEnd"/>
      <w:r>
        <w:rPr>
          <w:sz w:val="18"/>
          <w:szCs w:val="18"/>
        </w:rPr>
        <w:t xml:space="preserve"> and </w:t>
      </w:r>
      <w:proofErr w:type="spellStart"/>
      <w:r>
        <w:rPr>
          <w:sz w:val="18"/>
          <w:szCs w:val="18"/>
        </w:rPr>
        <w:t>comparing</w:t>
      </w:r>
      <w:proofErr w:type="spellEnd"/>
      <w:r>
        <w:rPr>
          <w:sz w:val="18"/>
          <w:szCs w:val="18"/>
        </w:rPr>
        <w:t xml:space="preserve"> </w:t>
      </w:r>
      <w:proofErr w:type="spellStart"/>
      <w:r>
        <w:rPr>
          <w:sz w:val="18"/>
          <w:szCs w:val="18"/>
        </w:rPr>
        <w:t>lakehouse</w:t>
      </w:r>
      <w:proofErr w:type="spellEnd"/>
      <w:r>
        <w:rPr>
          <w:sz w:val="18"/>
          <w:szCs w:val="18"/>
        </w:rPr>
        <w:t xml:space="preserve"> </w:t>
      </w:r>
      <w:proofErr w:type="spellStart"/>
      <w:r>
        <w:rPr>
          <w:sz w:val="18"/>
          <w:szCs w:val="18"/>
        </w:rPr>
        <w:t>storage</w:t>
      </w:r>
      <w:proofErr w:type="spellEnd"/>
      <w:r>
        <w:rPr>
          <w:sz w:val="18"/>
          <w:szCs w:val="18"/>
        </w:rPr>
        <w:t xml:space="preserve"> </w:t>
      </w:r>
      <w:proofErr w:type="spellStart"/>
      <w:r>
        <w:rPr>
          <w:sz w:val="18"/>
          <w:szCs w:val="18"/>
        </w:rPr>
        <w:t>systems</w:t>
      </w:r>
      <w:proofErr w:type="spellEnd"/>
      <w:r>
        <w:rPr>
          <w:sz w:val="18"/>
          <w:szCs w:val="18"/>
        </w:rPr>
        <w:t xml:space="preserve">. 13th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Innovative Data </w:t>
      </w:r>
      <w:proofErr w:type="spellStart"/>
      <w:r>
        <w:rPr>
          <w:sz w:val="18"/>
          <w:szCs w:val="18"/>
        </w:rPr>
        <w:t>Systems</w:t>
      </w:r>
      <w:proofErr w:type="spellEnd"/>
      <w:r>
        <w:rPr>
          <w:sz w:val="18"/>
          <w:szCs w:val="18"/>
        </w:rPr>
        <w:t xml:space="preserve"> </w:t>
      </w:r>
      <w:proofErr w:type="spellStart"/>
      <w:r>
        <w:rPr>
          <w:sz w:val="18"/>
          <w:szCs w:val="18"/>
        </w:rPr>
        <w:t>Research</w:t>
      </w:r>
      <w:proofErr w:type="spellEnd"/>
      <w:r>
        <w:rPr>
          <w:sz w:val="18"/>
          <w:szCs w:val="18"/>
        </w:rPr>
        <w:t xml:space="preserve"> (CIDR 2023).</w:t>
      </w:r>
    </w:p>
    <w:p w14:paraId="628DF201" w14:textId="77777777" w:rsidR="00E373C8" w:rsidRDefault="00C808E5">
      <w:pPr>
        <w:spacing w:after="80"/>
        <w:ind w:left="200" w:hanging="200"/>
        <w:jc w:val="both"/>
      </w:pPr>
      <w:r>
        <w:rPr>
          <w:sz w:val="18"/>
          <w:szCs w:val="18"/>
        </w:rPr>
        <w:t xml:space="preserve">Kimball, R., &amp; Ross, M. (2013). The Data </w:t>
      </w:r>
      <w:proofErr w:type="spellStart"/>
      <w:r>
        <w:rPr>
          <w:sz w:val="18"/>
          <w:szCs w:val="18"/>
        </w:rPr>
        <w:t>Warehouse</w:t>
      </w:r>
      <w:proofErr w:type="spellEnd"/>
      <w:r>
        <w:rPr>
          <w:sz w:val="18"/>
          <w:szCs w:val="18"/>
        </w:rPr>
        <w:t xml:space="preserve"> </w:t>
      </w:r>
      <w:proofErr w:type="spellStart"/>
      <w:r>
        <w:rPr>
          <w:sz w:val="18"/>
          <w:szCs w:val="18"/>
        </w:rPr>
        <w:t>Toolkit</w:t>
      </w:r>
      <w:proofErr w:type="spellEnd"/>
      <w:r>
        <w:rPr>
          <w:sz w:val="18"/>
          <w:szCs w:val="18"/>
        </w:rPr>
        <w:t xml:space="preserve">: The Definitive Guide </w:t>
      </w:r>
      <w:proofErr w:type="spellStart"/>
      <w:r>
        <w:rPr>
          <w:sz w:val="18"/>
          <w:szCs w:val="18"/>
        </w:rPr>
        <w:t>to</w:t>
      </w:r>
      <w:proofErr w:type="spellEnd"/>
      <w:r>
        <w:rPr>
          <w:sz w:val="18"/>
          <w:szCs w:val="18"/>
        </w:rPr>
        <w:t xml:space="preserve"> Dimensional </w:t>
      </w:r>
      <w:proofErr w:type="spellStart"/>
      <w:r>
        <w:rPr>
          <w:sz w:val="18"/>
          <w:szCs w:val="18"/>
        </w:rPr>
        <w:t>Modeling</w:t>
      </w:r>
      <w:proofErr w:type="spellEnd"/>
      <w:r>
        <w:rPr>
          <w:sz w:val="18"/>
          <w:szCs w:val="18"/>
        </w:rPr>
        <w:t xml:space="preserve"> (3rd ed.). John Wiley &amp; Sons.</w:t>
      </w:r>
    </w:p>
    <w:p w14:paraId="7A8A0C97" w14:textId="77777777" w:rsidR="00E373C8" w:rsidRDefault="00C808E5">
      <w:pPr>
        <w:spacing w:after="80"/>
        <w:ind w:left="200" w:hanging="200"/>
        <w:jc w:val="both"/>
      </w:pPr>
      <w:r>
        <w:rPr>
          <w:sz w:val="18"/>
          <w:szCs w:val="18"/>
        </w:rPr>
        <w:t xml:space="preserve">Machado, I. A., Costa, C., &amp; Santos, M. Y. (2022). Data </w:t>
      </w:r>
      <w:proofErr w:type="spellStart"/>
      <w:r>
        <w:rPr>
          <w:sz w:val="18"/>
          <w:szCs w:val="18"/>
        </w:rPr>
        <w:t>mesh</w:t>
      </w:r>
      <w:proofErr w:type="spellEnd"/>
      <w:r>
        <w:rPr>
          <w:sz w:val="18"/>
          <w:szCs w:val="18"/>
        </w:rPr>
        <w:t xml:space="preserve">: </w:t>
      </w:r>
      <w:proofErr w:type="spellStart"/>
      <w:r>
        <w:rPr>
          <w:sz w:val="18"/>
          <w:szCs w:val="18"/>
        </w:rPr>
        <w:t>Concepts</w:t>
      </w:r>
      <w:proofErr w:type="spellEnd"/>
      <w:r>
        <w:rPr>
          <w:sz w:val="18"/>
          <w:szCs w:val="18"/>
        </w:rPr>
        <w:t xml:space="preserve"> and </w:t>
      </w:r>
      <w:proofErr w:type="spellStart"/>
      <w:r>
        <w:rPr>
          <w:sz w:val="18"/>
          <w:szCs w:val="18"/>
        </w:rPr>
        <w:t>principles</w:t>
      </w:r>
      <w:proofErr w:type="spellEnd"/>
      <w:r>
        <w:rPr>
          <w:sz w:val="18"/>
          <w:szCs w:val="18"/>
        </w:rPr>
        <w:t xml:space="preserve"> </w:t>
      </w:r>
      <w:proofErr w:type="spellStart"/>
      <w:r>
        <w:rPr>
          <w:sz w:val="18"/>
          <w:szCs w:val="18"/>
        </w:rPr>
        <w:t>of</w:t>
      </w:r>
      <w:proofErr w:type="spellEnd"/>
      <w:r>
        <w:rPr>
          <w:sz w:val="18"/>
          <w:szCs w:val="18"/>
        </w:rPr>
        <w:t xml:space="preserve"> a </w:t>
      </w:r>
      <w:proofErr w:type="spellStart"/>
      <w:r>
        <w:rPr>
          <w:sz w:val="18"/>
          <w:szCs w:val="18"/>
        </w:rPr>
        <w:t>paradigm</w:t>
      </w:r>
      <w:proofErr w:type="spellEnd"/>
      <w:r>
        <w:rPr>
          <w:sz w:val="18"/>
          <w:szCs w:val="18"/>
        </w:rPr>
        <w:t xml:space="preserve"> shift in data </w:t>
      </w:r>
      <w:proofErr w:type="spellStart"/>
      <w:r>
        <w:rPr>
          <w:sz w:val="18"/>
          <w:szCs w:val="18"/>
        </w:rPr>
        <w:t>architectures</w:t>
      </w:r>
      <w:proofErr w:type="spellEnd"/>
      <w:r>
        <w:rPr>
          <w:sz w:val="18"/>
          <w:szCs w:val="18"/>
        </w:rPr>
        <w:t xml:space="preserve">. </w:t>
      </w:r>
      <w:proofErr w:type="spellStart"/>
      <w:r>
        <w:rPr>
          <w:sz w:val="18"/>
          <w:szCs w:val="18"/>
        </w:rPr>
        <w:t>Procedia</w:t>
      </w:r>
      <w:proofErr w:type="spellEnd"/>
      <w:r>
        <w:rPr>
          <w:sz w:val="18"/>
          <w:szCs w:val="18"/>
        </w:rPr>
        <w:t xml:space="preserve"> </w:t>
      </w:r>
      <w:proofErr w:type="spellStart"/>
      <w:r>
        <w:rPr>
          <w:sz w:val="18"/>
          <w:szCs w:val="18"/>
        </w:rPr>
        <w:t>Computer</w:t>
      </w:r>
      <w:proofErr w:type="spellEnd"/>
      <w:r>
        <w:rPr>
          <w:sz w:val="18"/>
          <w:szCs w:val="18"/>
        </w:rPr>
        <w:t xml:space="preserve"> </w:t>
      </w:r>
      <w:proofErr w:type="spellStart"/>
      <w:r>
        <w:rPr>
          <w:sz w:val="18"/>
          <w:szCs w:val="18"/>
        </w:rPr>
        <w:t>Science</w:t>
      </w:r>
      <w:proofErr w:type="spellEnd"/>
      <w:r>
        <w:rPr>
          <w:sz w:val="18"/>
          <w:szCs w:val="18"/>
        </w:rPr>
        <w:t>, 196, 263-271.</w:t>
      </w:r>
    </w:p>
    <w:p w14:paraId="1D120334" w14:textId="77777777" w:rsidR="00E373C8" w:rsidRDefault="00C808E5">
      <w:pPr>
        <w:spacing w:after="80"/>
        <w:ind w:left="200" w:hanging="200"/>
        <w:jc w:val="both"/>
      </w:pPr>
      <w:r>
        <w:rPr>
          <w:sz w:val="18"/>
          <w:szCs w:val="18"/>
        </w:rPr>
        <w:t xml:space="preserve">McKinney, W. (2017). Python </w:t>
      </w:r>
      <w:proofErr w:type="spellStart"/>
      <w:r>
        <w:rPr>
          <w:sz w:val="18"/>
          <w:szCs w:val="18"/>
        </w:rPr>
        <w:t>for</w:t>
      </w:r>
      <w:proofErr w:type="spellEnd"/>
      <w:r>
        <w:rPr>
          <w:sz w:val="18"/>
          <w:szCs w:val="18"/>
        </w:rPr>
        <w:t xml:space="preserve"> Data </w:t>
      </w:r>
      <w:proofErr w:type="spellStart"/>
      <w:r>
        <w:rPr>
          <w:sz w:val="18"/>
          <w:szCs w:val="18"/>
        </w:rPr>
        <w:t>Analysis</w:t>
      </w:r>
      <w:proofErr w:type="spellEnd"/>
      <w:r>
        <w:rPr>
          <w:sz w:val="18"/>
          <w:szCs w:val="18"/>
        </w:rPr>
        <w:t xml:space="preserve">: Data </w:t>
      </w:r>
      <w:proofErr w:type="spellStart"/>
      <w:r>
        <w:rPr>
          <w:sz w:val="18"/>
          <w:szCs w:val="18"/>
        </w:rPr>
        <w:t>Wrangling</w:t>
      </w:r>
      <w:proofErr w:type="spellEnd"/>
      <w:r>
        <w:rPr>
          <w:sz w:val="18"/>
          <w:szCs w:val="18"/>
        </w:rPr>
        <w:t xml:space="preserve"> </w:t>
      </w:r>
      <w:proofErr w:type="spellStart"/>
      <w:r>
        <w:rPr>
          <w:sz w:val="18"/>
          <w:szCs w:val="18"/>
        </w:rPr>
        <w:t>with</w:t>
      </w:r>
      <w:proofErr w:type="spellEnd"/>
      <w:r>
        <w:rPr>
          <w:sz w:val="18"/>
          <w:szCs w:val="18"/>
        </w:rPr>
        <w:t xml:space="preserve"> Pandas, </w:t>
      </w:r>
      <w:proofErr w:type="spellStart"/>
      <w:r>
        <w:rPr>
          <w:sz w:val="18"/>
          <w:szCs w:val="18"/>
        </w:rPr>
        <w:t>NumPy</w:t>
      </w:r>
      <w:proofErr w:type="spellEnd"/>
      <w:r>
        <w:rPr>
          <w:sz w:val="18"/>
          <w:szCs w:val="18"/>
        </w:rPr>
        <w:t xml:space="preserve">, and </w:t>
      </w:r>
      <w:proofErr w:type="spellStart"/>
      <w:r>
        <w:rPr>
          <w:sz w:val="18"/>
          <w:szCs w:val="18"/>
        </w:rPr>
        <w:t>Jupyter</w:t>
      </w:r>
      <w:proofErr w:type="spellEnd"/>
      <w:r>
        <w:rPr>
          <w:sz w:val="18"/>
          <w:szCs w:val="18"/>
        </w:rPr>
        <w:t xml:space="preserve"> (2nd ed.). O'Reilly Media.</w:t>
      </w:r>
    </w:p>
    <w:p w14:paraId="5711AF97" w14:textId="77777777" w:rsidR="00E373C8" w:rsidRDefault="00C808E5">
      <w:pPr>
        <w:spacing w:after="80"/>
        <w:ind w:left="200" w:hanging="200"/>
        <w:jc w:val="both"/>
      </w:pPr>
      <w:r>
        <w:rPr>
          <w:sz w:val="18"/>
          <w:szCs w:val="18"/>
        </w:rPr>
        <w:t xml:space="preserve">Provost, F., &amp; Fawcett, T. (2013). Data </w:t>
      </w:r>
      <w:proofErr w:type="spellStart"/>
      <w:r>
        <w:rPr>
          <w:sz w:val="18"/>
          <w:szCs w:val="18"/>
        </w:rPr>
        <w:t>Science</w:t>
      </w:r>
      <w:proofErr w:type="spellEnd"/>
      <w:r>
        <w:rPr>
          <w:sz w:val="18"/>
          <w:szCs w:val="18"/>
        </w:rPr>
        <w:t xml:space="preserve"> </w:t>
      </w:r>
      <w:proofErr w:type="spellStart"/>
      <w:r>
        <w:rPr>
          <w:sz w:val="18"/>
          <w:szCs w:val="18"/>
        </w:rPr>
        <w:t>for</w:t>
      </w:r>
      <w:proofErr w:type="spellEnd"/>
      <w:r>
        <w:rPr>
          <w:sz w:val="18"/>
          <w:szCs w:val="18"/>
        </w:rPr>
        <w:t xml:space="preserve"> Business: </w:t>
      </w:r>
      <w:proofErr w:type="spellStart"/>
      <w:r>
        <w:rPr>
          <w:sz w:val="18"/>
          <w:szCs w:val="18"/>
        </w:rPr>
        <w:t>What</w:t>
      </w:r>
      <w:proofErr w:type="spellEnd"/>
      <w:r>
        <w:rPr>
          <w:sz w:val="18"/>
          <w:szCs w:val="18"/>
        </w:rPr>
        <w:t xml:space="preserve"> You Need </w:t>
      </w:r>
      <w:proofErr w:type="spellStart"/>
      <w:r>
        <w:rPr>
          <w:sz w:val="18"/>
          <w:szCs w:val="18"/>
        </w:rPr>
        <w:t>to</w:t>
      </w:r>
      <w:proofErr w:type="spellEnd"/>
      <w:r>
        <w:rPr>
          <w:sz w:val="18"/>
          <w:szCs w:val="18"/>
        </w:rPr>
        <w:t xml:space="preserve"> Know </w:t>
      </w:r>
      <w:proofErr w:type="spellStart"/>
      <w:r>
        <w:rPr>
          <w:sz w:val="18"/>
          <w:szCs w:val="18"/>
        </w:rPr>
        <w:t>about</w:t>
      </w:r>
      <w:proofErr w:type="spellEnd"/>
      <w:r>
        <w:rPr>
          <w:sz w:val="18"/>
          <w:szCs w:val="18"/>
        </w:rPr>
        <w:t xml:space="preserve"> Data </w:t>
      </w:r>
      <w:proofErr w:type="spellStart"/>
      <w:r>
        <w:rPr>
          <w:sz w:val="18"/>
          <w:szCs w:val="18"/>
        </w:rPr>
        <w:t>Mining</w:t>
      </w:r>
      <w:proofErr w:type="spellEnd"/>
      <w:r>
        <w:rPr>
          <w:sz w:val="18"/>
          <w:szCs w:val="18"/>
        </w:rPr>
        <w:t xml:space="preserve"> and Data-Analytic </w:t>
      </w:r>
      <w:proofErr w:type="spellStart"/>
      <w:r>
        <w:rPr>
          <w:sz w:val="18"/>
          <w:szCs w:val="18"/>
        </w:rPr>
        <w:t>Thinking</w:t>
      </w:r>
      <w:proofErr w:type="spellEnd"/>
      <w:r>
        <w:rPr>
          <w:sz w:val="18"/>
          <w:szCs w:val="18"/>
        </w:rPr>
        <w:t>. O'Reilly Media.</w:t>
      </w:r>
    </w:p>
    <w:p w14:paraId="5C8A1B8E" w14:textId="77777777" w:rsidR="00E373C8" w:rsidRDefault="00C808E5">
      <w:pPr>
        <w:spacing w:after="80"/>
        <w:ind w:left="200" w:hanging="200"/>
        <w:jc w:val="both"/>
      </w:pPr>
      <w:r>
        <w:rPr>
          <w:sz w:val="18"/>
          <w:szCs w:val="18"/>
        </w:rPr>
        <w:t xml:space="preserve">Sawadogo, P. N., &amp; Darmont, J. (2021). </w:t>
      </w:r>
      <w:proofErr w:type="spellStart"/>
      <w:r>
        <w:rPr>
          <w:sz w:val="18"/>
          <w:szCs w:val="18"/>
        </w:rPr>
        <w:t>On</w:t>
      </w:r>
      <w:proofErr w:type="spellEnd"/>
      <w:r>
        <w:rPr>
          <w:sz w:val="18"/>
          <w:szCs w:val="18"/>
        </w:rPr>
        <w:t xml:space="preserve"> data </w:t>
      </w:r>
      <w:proofErr w:type="spellStart"/>
      <w:r>
        <w:rPr>
          <w:sz w:val="18"/>
          <w:szCs w:val="18"/>
        </w:rPr>
        <w:t>lake</w:t>
      </w:r>
      <w:proofErr w:type="spellEnd"/>
      <w:r>
        <w:rPr>
          <w:sz w:val="18"/>
          <w:szCs w:val="18"/>
        </w:rPr>
        <w:t xml:space="preserve"> </w:t>
      </w:r>
      <w:proofErr w:type="spellStart"/>
      <w:r>
        <w:rPr>
          <w:sz w:val="18"/>
          <w:szCs w:val="18"/>
        </w:rPr>
        <w:t>architectures</w:t>
      </w:r>
      <w:proofErr w:type="spellEnd"/>
      <w:r>
        <w:rPr>
          <w:sz w:val="18"/>
          <w:szCs w:val="18"/>
        </w:rPr>
        <w:t xml:space="preserve"> and </w:t>
      </w:r>
      <w:proofErr w:type="spellStart"/>
      <w:r>
        <w:rPr>
          <w:sz w:val="18"/>
          <w:szCs w:val="18"/>
        </w:rPr>
        <w:t>metadata</w:t>
      </w:r>
      <w:proofErr w:type="spellEnd"/>
      <w:r>
        <w:rPr>
          <w:sz w:val="18"/>
          <w:szCs w:val="18"/>
        </w:rPr>
        <w:t xml:space="preserve"> </w:t>
      </w:r>
      <w:proofErr w:type="spellStart"/>
      <w:r>
        <w:rPr>
          <w:sz w:val="18"/>
          <w:szCs w:val="18"/>
        </w:rPr>
        <w:t>management</w:t>
      </w:r>
      <w:proofErr w:type="spellEnd"/>
      <w:r>
        <w:rPr>
          <w:sz w:val="18"/>
          <w:szCs w:val="18"/>
        </w:rPr>
        <w:t xml:space="preserve">. </w:t>
      </w: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Intelligent</w:t>
      </w:r>
      <w:proofErr w:type="spellEnd"/>
      <w:r>
        <w:rPr>
          <w:sz w:val="18"/>
          <w:szCs w:val="18"/>
        </w:rPr>
        <w:t xml:space="preserve"> </w:t>
      </w:r>
      <w:proofErr w:type="spellStart"/>
      <w:r>
        <w:rPr>
          <w:sz w:val="18"/>
          <w:szCs w:val="18"/>
        </w:rPr>
        <w:t>Information</w:t>
      </w:r>
      <w:proofErr w:type="spellEnd"/>
      <w:r>
        <w:rPr>
          <w:sz w:val="18"/>
          <w:szCs w:val="18"/>
        </w:rPr>
        <w:t xml:space="preserve"> </w:t>
      </w:r>
      <w:proofErr w:type="spellStart"/>
      <w:r>
        <w:rPr>
          <w:sz w:val="18"/>
          <w:szCs w:val="18"/>
        </w:rPr>
        <w:t>Systems</w:t>
      </w:r>
      <w:proofErr w:type="spellEnd"/>
      <w:r>
        <w:rPr>
          <w:sz w:val="18"/>
          <w:szCs w:val="18"/>
        </w:rPr>
        <w:t>, 56(1), 97-120.</w:t>
      </w:r>
    </w:p>
    <w:p w14:paraId="394FFF69" w14:textId="77777777" w:rsidR="00E373C8" w:rsidRDefault="00C808E5">
      <w:pPr>
        <w:spacing w:after="80"/>
        <w:ind w:left="200" w:hanging="200"/>
        <w:jc w:val="both"/>
      </w:pPr>
      <w:r>
        <w:rPr>
          <w:sz w:val="18"/>
          <w:szCs w:val="18"/>
        </w:rPr>
        <w:t xml:space="preserve">Wirth, R., &amp; Hipp, J. (2000). CRISP-DM: </w:t>
      </w:r>
      <w:proofErr w:type="spellStart"/>
      <w:r>
        <w:rPr>
          <w:sz w:val="18"/>
          <w:szCs w:val="18"/>
        </w:rPr>
        <w:t>Towards</w:t>
      </w:r>
      <w:proofErr w:type="spellEnd"/>
      <w:r>
        <w:rPr>
          <w:sz w:val="18"/>
          <w:szCs w:val="18"/>
        </w:rPr>
        <w:t xml:space="preserve"> a standard </w:t>
      </w:r>
      <w:proofErr w:type="spellStart"/>
      <w:r>
        <w:rPr>
          <w:sz w:val="18"/>
          <w:szCs w:val="18"/>
        </w:rPr>
        <w:t>process</w:t>
      </w:r>
      <w:proofErr w:type="spellEnd"/>
      <w:r>
        <w:rPr>
          <w:sz w:val="18"/>
          <w:szCs w:val="18"/>
        </w:rPr>
        <w:t xml:space="preserve"> </w:t>
      </w:r>
      <w:proofErr w:type="spellStart"/>
      <w:r>
        <w:rPr>
          <w:sz w:val="18"/>
          <w:szCs w:val="18"/>
        </w:rPr>
        <w:t>model</w:t>
      </w:r>
      <w:proofErr w:type="spellEnd"/>
      <w:r>
        <w:rPr>
          <w:sz w:val="18"/>
          <w:szCs w:val="18"/>
        </w:rPr>
        <w:t xml:space="preserve"> </w:t>
      </w:r>
      <w:proofErr w:type="spellStart"/>
      <w:r>
        <w:rPr>
          <w:sz w:val="18"/>
          <w:szCs w:val="18"/>
        </w:rPr>
        <w:t>for</w:t>
      </w:r>
      <w:proofErr w:type="spellEnd"/>
      <w:r>
        <w:rPr>
          <w:sz w:val="18"/>
          <w:szCs w:val="18"/>
        </w:rPr>
        <w:t xml:space="preserve"> data </w:t>
      </w:r>
      <w:proofErr w:type="spellStart"/>
      <w:r>
        <w:rPr>
          <w:sz w:val="18"/>
          <w:szCs w:val="18"/>
        </w:rPr>
        <w:t>mining</w:t>
      </w:r>
      <w:proofErr w:type="spellEnd"/>
      <w:r>
        <w:rPr>
          <w:sz w:val="18"/>
          <w:szCs w:val="18"/>
        </w:rPr>
        <w:t xml:space="preserve">. </w:t>
      </w:r>
      <w:proofErr w:type="spellStart"/>
      <w:r>
        <w:rPr>
          <w:sz w:val="18"/>
          <w:szCs w:val="18"/>
        </w:rPr>
        <w:t>Proceedings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4th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Practical</w:t>
      </w:r>
      <w:proofErr w:type="spellEnd"/>
      <w:r>
        <w:rPr>
          <w:sz w:val="18"/>
          <w:szCs w:val="18"/>
        </w:rPr>
        <w:t xml:space="preserve"> </w:t>
      </w:r>
      <w:proofErr w:type="spellStart"/>
      <w:r>
        <w:rPr>
          <w:sz w:val="18"/>
          <w:szCs w:val="18"/>
        </w:rPr>
        <w:t>Applications</w:t>
      </w:r>
      <w:proofErr w:type="spellEnd"/>
      <w:r>
        <w:rPr>
          <w:sz w:val="18"/>
          <w:szCs w:val="18"/>
        </w:rPr>
        <w:t xml:space="preserve"> </w:t>
      </w:r>
      <w:proofErr w:type="spellStart"/>
      <w:r>
        <w:rPr>
          <w:sz w:val="18"/>
          <w:szCs w:val="18"/>
        </w:rPr>
        <w:t>of</w:t>
      </w:r>
      <w:proofErr w:type="spellEnd"/>
      <w:r>
        <w:rPr>
          <w:sz w:val="18"/>
          <w:szCs w:val="18"/>
        </w:rPr>
        <w:t xml:space="preserve"> Knowledge Discovery and Data </w:t>
      </w:r>
      <w:proofErr w:type="spellStart"/>
      <w:r>
        <w:rPr>
          <w:sz w:val="18"/>
          <w:szCs w:val="18"/>
        </w:rPr>
        <w:t>Mining</w:t>
      </w:r>
      <w:proofErr w:type="spellEnd"/>
      <w:r>
        <w:rPr>
          <w:sz w:val="18"/>
          <w:szCs w:val="18"/>
        </w:rPr>
        <w:t>, 29-39.</w:t>
      </w:r>
    </w:p>
    <w:sectPr w:rsidR="00E373C8">
      <w:pgSz w:w="12240" w:h="15840" w:orient="landscape"/>
      <w:pgMar w:top="1080" w:right="1000" w:bottom="1080" w:left="1280" w:header="464" w:footer="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D4F19"/>
    <w:multiLevelType w:val="hybridMultilevel"/>
    <w:tmpl w:val="7BD051D2"/>
    <w:lvl w:ilvl="0" w:tplc="67B041E8">
      <w:start w:val="1"/>
      <w:numFmt w:val="bullet"/>
      <w:lvlText w:val="●"/>
      <w:lvlJc w:val="left"/>
      <w:pPr>
        <w:ind w:left="720" w:hanging="360"/>
      </w:pPr>
    </w:lvl>
    <w:lvl w:ilvl="1" w:tplc="BA8AE050">
      <w:start w:val="1"/>
      <w:numFmt w:val="bullet"/>
      <w:lvlText w:val="○"/>
      <w:lvlJc w:val="left"/>
      <w:pPr>
        <w:ind w:left="1440" w:hanging="360"/>
      </w:pPr>
    </w:lvl>
    <w:lvl w:ilvl="2" w:tplc="FC74B84A">
      <w:start w:val="1"/>
      <w:numFmt w:val="bullet"/>
      <w:lvlText w:val="■"/>
      <w:lvlJc w:val="left"/>
      <w:pPr>
        <w:ind w:left="2160" w:hanging="360"/>
      </w:pPr>
    </w:lvl>
    <w:lvl w:ilvl="3" w:tplc="6B729734">
      <w:start w:val="1"/>
      <w:numFmt w:val="bullet"/>
      <w:lvlText w:val="●"/>
      <w:lvlJc w:val="left"/>
      <w:pPr>
        <w:ind w:left="2880" w:hanging="360"/>
      </w:pPr>
    </w:lvl>
    <w:lvl w:ilvl="4" w:tplc="224415F8">
      <w:start w:val="1"/>
      <w:numFmt w:val="bullet"/>
      <w:lvlText w:val="○"/>
      <w:lvlJc w:val="left"/>
      <w:pPr>
        <w:ind w:left="3600" w:hanging="360"/>
      </w:pPr>
    </w:lvl>
    <w:lvl w:ilvl="5" w:tplc="30B26D2E">
      <w:start w:val="1"/>
      <w:numFmt w:val="bullet"/>
      <w:lvlText w:val="■"/>
      <w:lvlJc w:val="left"/>
      <w:pPr>
        <w:ind w:left="4320" w:hanging="360"/>
      </w:pPr>
    </w:lvl>
    <w:lvl w:ilvl="6" w:tplc="FDFEC72E">
      <w:start w:val="1"/>
      <w:numFmt w:val="bullet"/>
      <w:lvlText w:val="●"/>
      <w:lvlJc w:val="left"/>
      <w:pPr>
        <w:ind w:left="5040" w:hanging="360"/>
      </w:pPr>
    </w:lvl>
    <w:lvl w:ilvl="7" w:tplc="E244EA24">
      <w:start w:val="1"/>
      <w:numFmt w:val="bullet"/>
      <w:lvlText w:val="●"/>
      <w:lvlJc w:val="left"/>
      <w:pPr>
        <w:ind w:left="5760" w:hanging="360"/>
      </w:pPr>
    </w:lvl>
    <w:lvl w:ilvl="8" w:tplc="1AD48570">
      <w:start w:val="1"/>
      <w:numFmt w:val="bullet"/>
      <w:lvlText w:val="●"/>
      <w:lvlJc w:val="left"/>
      <w:pPr>
        <w:ind w:left="6480" w:hanging="360"/>
      </w:pPr>
    </w:lvl>
  </w:abstractNum>
  <w:abstractNum w:abstractNumId="1" w15:restartNumberingAfterBreak="0">
    <w:nsid w:val="2EE42A6D"/>
    <w:multiLevelType w:val="hybridMultilevel"/>
    <w:tmpl w:val="BC42E836"/>
    <w:lvl w:ilvl="0" w:tplc="F61C2946">
      <w:start w:val="1"/>
      <w:numFmt w:val="upperRoman"/>
      <w:lvlText w:val="%1."/>
      <w:lvlJc w:val="left"/>
      <w:pPr>
        <w:ind w:left="2273" w:hanging="336"/>
        <w:jc w:val="right"/>
      </w:pPr>
    </w:lvl>
    <w:lvl w:ilvl="1" w:tplc="B98E2A2C">
      <w:numFmt w:val="decimal"/>
      <w:lvlText w:val=""/>
      <w:lvlJc w:val="left"/>
    </w:lvl>
    <w:lvl w:ilvl="2" w:tplc="67C0AB62">
      <w:numFmt w:val="decimal"/>
      <w:lvlText w:val=""/>
      <w:lvlJc w:val="left"/>
    </w:lvl>
    <w:lvl w:ilvl="3" w:tplc="723AA506">
      <w:numFmt w:val="decimal"/>
      <w:lvlText w:val=""/>
      <w:lvlJc w:val="left"/>
    </w:lvl>
    <w:lvl w:ilvl="4" w:tplc="80361DDC">
      <w:numFmt w:val="decimal"/>
      <w:lvlText w:val=""/>
      <w:lvlJc w:val="left"/>
    </w:lvl>
    <w:lvl w:ilvl="5" w:tplc="FF5AD098">
      <w:numFmt w:val="decimal"/>
      <w:lvlText w:val=""/>
      <w:lvlJc w:val="left"/>
    </w:lvl>
    <w:lvl w:ilvl="6" w:tplc="06FAF27E">
      <w:numFmt w:val="decimal"/>
      <w:lvlText w:val=""/>
      <w:lvlJc w:val="left"/>
    </w:lvl>
    <w:lvl w:ilvl="7" w:tplc="6C020D44">
      <w:numFmt w:val="decimal"/>
      <w:lvlText w:val=""/>
      <w:lvlJc w:val="left"/>
    </w:lvl>
    <w:lvl w:ilvl="8" w:tplc="42808BD0">
      <w:numFmt w:val="decimal"/>
      <w:lvlText w:val=""/>
      <w:lvlJc w:val="left"/>
    </w:lvl>
  </w:abstractNum>
  <w:abstractNum w:abstractNumId="2" w15:restartNumberingAfterBreak="0">
    <w:nsid w:val="33354439"/>
    <w:multiLevelType w:val="hybridMultilevel"/>
    <w:tmpl w:val="0DFAADEA"/>
    <w:lvl w:ilvl="0" w:tplc="8542BAE8">
      <w:start w:val="1"/>
      <w:numFmt w:val="bullet"/>
      <w:lvlText w:val="•"/>
      <w:lvlJc w:val="left"/>
      <w:pPr>
        <w:ind w:left="360" w:hanging="200"/>
      </w:pPr>
    </w:lvl>
    <w:lvl w:ilvl="1" w:tplc="C46E6340">
      <w:numFmt w:val="decimal"/>
      <w:lvlText w:val=""/>
      <w:lvlJc w:val="left"/>
    </w:lvl>
    <w:lvl w:ilvl="2" w:tplc="F4C6F350">
      <w:numFmt w:val="decimal"/>
      <w:lvlText w:val=""/>
      <w:lvlJc w:val="left"/>
    </w:lvl>
    <w:lvl w:ilvl="3" w:tplc="DEB2DF62">
      <w:numFmt w:val="decimal"/>
      <w:lvlText w:val=""/>
      <w:lvlJc w:val="left"/>
    </w:lvl>
    <w:lvl w:ilvl="4" w:tplc="39C817DC">
      <w:numFmt w:val="decimal"/>
      <w:lvlText w:val=""/>
      <w:lvlJc w:val="left"/>
    </w:lvl>
    <w:lvl w:ilvl="5" w:tplc="B41C1784">
      <w:numFmt w:val="decimal"/>
      <w:lvlText w:val=""/>
      <w:lvlJc w:val="left"/>
    </w:lvl>
    <w:lvl w:ilvl="6" w:tplc="8D4C2926">
      <w:numFmt w:val="decimal"/>
      <w:lvlText w:val=""/>
      <w:lvlJc w:val="left"/>
    </w:lvl>
    <w:lvl w:ilvl="7" w:tplc="E4E48E00">
      <w:numFmt w:val="decimal"/>
      <w:lvlText w:val=""/>
      <w:lvlJc w:val="left"/>
    </w:lvl>
    <w:lvl w:ilvl="8" w:tplc="13560EC6">
      <w:numFmt w:val="decimal"/>
      <w:lvlText w:val=""/>
      <w:lvlJc w:val="left"/>
    </w:lvl>
  </w:abstractNum>
  <w:num w:numId="1" w16cid:durableId="1637565302">
    <w:abstractNumId w:val="0"/>
    <w:lvlOverride w:ilvl="0">
      <w:startOverride w:val="1"/>
    </w:lvlOverride>
  </w:num>
  <w:num w:numId="2" w16cid:durableId="2088067757">
    <w:abstractNumId w:val="1"/>
    <w:lvlOverride w:ilvl="0">
      <w:startOverride w:val="1"/>
    </w:lvlOverride>
  </w:num>
  <w:num w:numId="3" w16cid:durableId="2216482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3C8"/>
    <w:rsid w:val="00792A55"/>
    <w:rsid w:val="00B40BD0"/>
    <w:rsid w:val="00E373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B47C"/>
  <w15:docId w15:val="{E8BB9CBE-609C-4BA0-B1E6-739887E1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0"/>
    <w:rsid w:val="00B40BD0"/>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2653</Words>
  <Characters>14592</Characters>
  <Application>Microsoft Office Word</Application>
  <DocSecurity>0</DocSecurity>
  <Lines>121</Lines>
  <Paragraphs>34</Paragraphs>
  <ScaleCrop>false</ScaleCrop>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SEBAS S</cp:lastModifiedBy>
  <cp:revision>2</cp:revision>
  <dcterms:created xsi:type="dcterms:W3CDTF">2026-07-17T10:59:00Z</dcterms:created>
  <dcterms:modified xsi:type="dcterms:W3CDTF">2026-07-17T10:59:00Z</dcterms:modified>
</cp:coreProperties>
</file>