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
        <w:jc w:val="center"/>
      </w:pPr>
      <w:r>
        <w:rPr>
          <w:rFonts w:ascii="Times New Roman" w:cs="Times New Roman" w:eastAsia="Times New Roman" w:hAnsi="Times New Roman"/>
          <w:b/>
          <w:bCs/>
          <w:sz w:val="48"/>
          <w:szCs w:val="48"/>
        </w:rPr>
        <w:t xml:space="preserve">Documentación del Reto Final: Pipeline de Datos del Macroentorno Ecuatoriano</w:t>
      </w:r>
    </w:p>
    <w:p>
      <w:pPr>
        <w:spacing w:after="20" w:before="80"/>
        <w:jc w:val="center"/>
      </w:pPr>
      <w:r>
        <w:rPr>
          <w:rFonts w:ascii="Times New Roman" w:cs="Times New Roman" w:eastAsia="Times New Roman" w:hAnsi="Times New Roman"/>
          <w:sz w:val="20"/>
          <w:szCs w:val="20"/>
        </w:rPr>
        <w:t xml:space="preserve">Rodrigo Sebastian Seraquive Avila</w:t>
      </w:r>
    </w:p>
    <w:p>
      <w:pPr>
        <w:spacing w:after="20" w:before="20"/>
        <w:jc w:val="center"/>
      </w:pPr>
      <w:r>
        <w:rPr>
          <w:rFonts w:ascii="Times New Roman" w:cs="Times New Roman" w:eastAsia="Times New Roman" w:hAnsi="Times New Roman"/>
          <w:i/>
          <w:iCs/>
          <w:sz w:val="20"/>
          <w:szCs w:val="20"/>
        </w:rPr>
        <w:t xml:space="preserve">Facultad de Ingenierías y Arquitectura</w:t>
      </w:r>
    </w:p>
    <w:p>
      <w:pPr>
        <w:spacing w:after="20" w:before="20"/>
        <w:jc w:val="center"/>
      </w:pPr>
      <w:r>
        <w:rPr>
          <w:rFonts w:ascii="Times New Roman" w:cs="Times New Roman" w:eastAsia="Times New Roman" w:hAnsi="Times New Roman"/>
          <w:i/>
          <w:iCs/>
          <w:sz w:val="20"/>
          <w:szCs w:val="20"/>
        </w:rPr>
        <w:t xml:space="preserve">Universidad Técnica Particular de Loja (UTPL)</w:t>
      </w:r>
    </w:p>
    <w:p>
      <w:pPr>
        <w:spacing w:after="20" w:before="20"/>
        <w:jc w:val="center"/>
      </w:pPr>
      <w:r>
        <w:rPr>
          <w:rFonts w:ascii="Times New Roman" w:cs="Times New Roman" w:eastAsia="Times New Roman" w:hAnsi="Times New Roman"/>
          <w:i/>
          <w:iCs/>
          <w:sz w:val="20"/>
          <w:szCs w:val="20"/>
        </w:rPr>
        <w:t xml:space="preserve">Ingeniería en Ciencias de la Computación — 4to Ciclo, Practicum 1.2</w:t>
      </w:r>
    </w:p>
    <w:p>
      <w:pPr>
        <w:spacing w:after="20" w:before="20"/>
        <w:jc w:val="center"/>
      </w:pPr>
      <w:r>
        <w:rPr>
          <w:rFonts w:ascii="Times New Roman" w:cs="Times New Roman" w:eastAsia="Times New Roman" w:hAnsi="Times New Roman"/>
          <w:i/>
          <w:iCs/>
          <w:sz w:val="20"/>
          <w:szCs w:val="20"/>
        </w:rPr>
        <w:t xml:space="preserve">Docente: Ing. Francisco Vargas</w:t>
      </w:r>
    </w:p>
    <w:p>
      <w:pPr>
        <w:spacing w:after="20" w:before="20"/>
        <w:jc w:val="center"/>
      </w:pPr>
      <w:r>
        <w:rPr>
          <w:rFonts w:ascii="Times New Roman" w:cs="Times New Roman" w:eastAsia="Times New Roman" w:hAnsi="Times New Roman"/>
          <w:i/>
          <w:iCs/>
          <w:sz w:val="20"/>
          <w:szCs w:val="20"/>
        </w:rPr>
        <w:t xml:space="preserve">Loja, Ecuador</w:t>
      </w:r>
    </w:p>
    <w:p>
      <w:pPr>
        <w:spacing w:after="40" w:before="160"/>
        <w:jc w:val="both"/>
      </w:pPr>
      <w:r>
        <w:rPr>
          <w:rFonts w:ascii="Times New Roman" w:cs="Times New Roman" w:eastAsia="Times New Roman" w:hAnsi="Times New Roman"/>
          <w:b/>
          <w:bCs/>
          <w:i/>
          <w:iCs/>
          <w:sz w:val="20"/>
          <w:szCs w:val="20"/>
        </w:rPr>
        <w:t xml:space="preserve">Resumen—</w:t>
      </w:r>
      <w:r>
        <w:rPr>
          <w:rFonts w:ascii="Times New Roman" w:cs="Times New Roman" w:eastAsia="Times New Roman" w:hAnsi="Times New Roman"/>
          <w:i/>
          <w:iCs/>
          <w:sz w:val="20"/>
          <w:szCs w:val="20"/>
        </w:rPr>
        <w:t xml:space="preserve">Este artículo documenta el desarrollo del reto final de Ingeniería de Datos orientado a construir un pipeline reproducible para el análisis del macroentorno ecuatoriano. El trabajo parte de una revisión delimitada del estado del arte sobre arquitectura Medallón, modelado dimensional, calidad de datos, automatización y visualización analítica, conceptos que se aplicaron directamente en la solución. La metodología integró fuentes del Banco Central del Ecuador, INEC, MINEDUC y Superintendencia de Compañías mediante Python, pandas y SQLite. Los datos fueron organizados en capas RAW, Silver y Gold; además, se incorporó un flujo de RPA para recibir y procesar archivos empresariales. Como resultado se obtuvo un pipeline de cinco etapas, una base relacional, tablas Gold y un dashboard de Power BI con tres páginas: evolución económica, actividad y empleo, y demanda educativa frente a empresas activas. La ejecución final procesó 1.950.119 registros, identificó 219.754 empresas únicas y generó un cruce territorial con 4.059.992 estudiantes de educación ordinaria y 179.447 empresas activas. El proyecto demuestra que la automatización, la trazabilidad y la visualización clara permiten convertir fuentes públicas heterogéneas en información útil para decisiones institucionales.</w:t>
      </w:r>
    </w:p>
    <w:p>
      <w:pPr>
        <w:spacing w:after="160" w:before="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Ingeniería de Datos, Arquitectura Medallón, ETL, SQLite, Power BI, RPA, Macroentorno, Calidad de Datos.</w:t>
      </w:r>
    </w:p>
    <w:p>
      <w:pPr>
        <w:spacing w:after="100" w:before="200"/>
      </w:pPr>
      <w:r>
        <w:rPr>
          <w:rFonts w:ascii="Times New Roman" w:cs="Times New Roman" w:eastAsia="Times New Roman" w:hAnsi="Times New Roman"/>
          <w:b/>
          <w:bCs/>
          <w:sz w:val="20"/>
          <w:szCs w:val="20"/>
        </w:rPr>
        <w:t xml:space="preserve">I.  Introducción</w:t>
      </w:r>
    </w:p>
    <w:p>
      <w:pPr>
        <w:pStyle w:val="Textoindependiente"/>
        <w:spacing w:after="0" w:before="0"/>
        <w:ind w:firstLine="432"/>
        <w:jc w:val="both"/>
      </w:pPr>
      <w:r>
        <w:rPr>
          <w:rFonts w:ascii="Times New Roman" w:cs="Times New Roman" w:eastAsia="Times New Roman" w:hAnsi="Times New Roman"/>
          <w:sz w:val="20"/>
          <w:szCs w:val="20"/>
        </w:rPr>
        <w:t xml:space="preserve">Las instituciones que analizan información económica, laboral, empresarial y educativa suelen trabajar con fuentes separadas, formatos distintos y procesos manuales de actualización. Esta fragmentación dificulta reproducir los resultados y aumenta la dependencia de conocimiento operativo que permanece en personas y no en procedimientos documentados.</w:t>
      </w:r>
    </w:p>
    <w:p>
      <w:pPr>
        <w:pStyle w:val="Textoindependiente"/>
        <w:spacing w:after="0" w:before="0"/>
        <w:ind w:firstLine="432"/>
        <w:jc w:val="both"/>
      </w:pPr>
      <w:r>
        <w:rPr>
          <w:rFonts w:ascii="Times New Roman" w:cs="Times New Roman" w:eastAsia="Times New Roman" w:hAnsi="Times New Roman"/>
          <w:sz w:val="20"/>
          <w:szCs w:val="20"/>
        </w:rPr>
        <w:t xml:space="preserve">El reto final planteó construir un pipeline que recibiera datos públicos del Ecuador, aplicara transformaciones consistentes, almacenara resultados en un modelo relacional y alimentara un dashboard con tres preguntas analíticas. Para cuarto ciclo se utilizó SQLite como motor de almacenamiento y Python como herramienta principal de integración, de acuerdo con el alcance académico definido.</w:t>
      </w:r>
    </w:p>
    <w:p>
      <w:pPr>
        <w:pStyle w:val="Textoindependiente"/>
        <w:spacing w:after="0" w:before="0"/>
        <w:ind w:firstLine="432"/>
        <w:jc w:val="both"/>
      </w:pPr>
      <w:r>
        <w:rPr>
          <w:rFonts w:ascii="Times New Roman" w:cs="Times New Roman" w:eastAsia="Times New Roman" w:hAnsi="Times New Roman"/>
          <w:sz w:val="20"/>
          <w:szCs w:val="20"/>
        </w:rPr>
        <w:t xml:space="preserve">El objetivo de este documento es convertir el estado del arte inicial en la documentación completa del reto. Por ello, primero se sintetizan únicamente los fundamentos que guardan relación directa con la solución implementada y, posteriormente, se describen metodología, arquitectura, herramientas, resultados, conclusiones y recomendaciones.</w:t>
      </w:r>
    </w:p>
    <w:p>
      <w:pPr>
        <w:spacing w:after="100" w:before="200"/>
      </w:pPr>
      <w:r>
        <w:rPr>
          <w:rFonts w:ascii="Times New Roman" w:cs="Times New Roman" w:eastAsia="Times New Roman" w:hAnsi="Times New Roman"/>
          <w:b/>
          <w:bCs/>
          <w:sz w:val="20"/>
          <w:szCs w:val="20"/>
        </w:rPr>
        <w:t xml:space="preserve">II.  Fundamentos relacionados con el reto</w:t>
      </w:r>
    </w:p>
    <w:p>
      <w:pPr>
        <w:spacing w:after="40" w:before="140"/>
      </w:pPr>
      <w:r>
        <w:rPr>
          <w:rFonts w:ascii="Times New Roman" w:cs="Times New Roman" w:eastAsia="Times New Roman" w:hAnsi="Times New Roman"/>
          <w:b/>
          <w:bCs/>
          <w:i/>
          <w:iCs/>
          <w:sz w:val="20"/>
          <w:szCs w:val="20"/>
        </w:rPr>
        <w:t xml:space="preserve">II-A.  Arquitectura Medallón y refinamiento progresivo</w:t>
      </w:r>
    </w:p>
    <w:p>
      <w:pPr>
        <w:pStyle w:val="Textoindependiente"/>
        <w:spacing w:after="0" w:before="0"/>
        <w:ind w:firstLine="432"/>
        <w:jc w:val="both"/>
      </w:pPr>
      <w:r>
        <w:rPr>
          <w:rFonts w:ascii="Times New Roman" w:cs="Times New Roman" w:eastAsia="Times New Roman" w:hAnsi="Times New Roman"/>
          <w:sz w:val="20"/>
          <w:szCs w:val="20"/>
        </w:rPr>
        <w:t xml:space="preserve">La arquitectura Medallón organiza el flujo de datos en capas sucesivas. La capa RAW conserva archivos originales; la capa Silver contiene datos limpios, tipados y normalizados; y la capa Gold presenta agregaciones orientadas a preguntas de negocio. Este patrón resulta adecuado cuando se requiere trazabilidad y actualización repetible, porque cada transformación puede ubicarse y verificarse dentro de una etapa específica (Armbrust et al., 2021; Sawadogo &amp; Darmont, 2021).</w:t>
      </w:r>
    </w:p>
    <w:p>
      <w:pPr>
        <w:spacing w:after="40" w:before="140"/>
      </w:pPr>
      <w:r>
        <w:rPr>
          <w:rFonts w:ascii="Times New Roman" w:cs="Times New Roman" w:eastAsia="Times New Roman" w:hAnsi="Times New Roman"/>
          <w:b/>
          <w:bCs/>
          <w:i/>
          <w:iCs/>
          <w:sz w:val="20"/>
          <w:szCs w:val="20"/>
        </w:rPr>
        <w:t xml:space="preserve">II-B.  Modelado dimensional y calidad de datos</w:t>
      </w:r>
    </w:p>
    <w:p>
      <w:pPr>
        <w:pStyle w:val="Textoindependiente"/>
        <w:spacing w:after="0" w:before="0"/>
        <w:ind w:firstLine="432"/>
        <w:jc w:val="both"/>
      </w:pPr>
      <w:r>
        <w:rPr>
          <w:rFonts w:ascii="Times New Roman" w:cs="Times New Roman" w:eastAsia="Times New Roman" w:hAnsi="Times New Roman"/>
          <w:sz w:val="20"/>
          <w:szCs w:val="20"/>
        </w:rPr>
        <w:t xml:space="preserve">El modelado dimensional separa hechos cuantitativos de dimensiones descriptivas. En este proyecto, las dimensiones de tiempo y geografía permiten relacionar indicadores económicos, territoriales, empresariales y educativos. La utilidad del modelo no depende únicamente de la estructura, sino de la calidad previa: normalización de nombres, control de duplicados, conversión de fechas, tratamiento de nulos y consistencia de claves (Kimball &amp; Ross, 2013). La literatura reciente amplía estas dimensiones clásicas de calidad —completitud, consistencia y exactitud— con criterios de cobertura y trazabilidad de linaje, cada vez más relevantes cuando se combinan fuentes públicas heterogéneas como las de este reto (Gregório et al., 2024).</w:t>
      </w:r>
    </w:p>
    <w:p>
      <w:pPr>
        <w:spacing w:after="40" w:before="140"/>
      </w:pPr>
      <w:r>
        <w:rPr>
          <w:rFonts w:ascii="Times New Roman" w:cs="Times New Roman" w:eastAsia="Times New Roman" w:hAnsi="Times New Roman"/>
          <w:b/>
          <w:bCs/>
          <w:i/>
          <w:iCs/>
          <w:sz w:val="20"/>
          <w:szCs w:val="20"/>
        </w:rPr>
        <w:t xml:space="preserve">II-C.  Visualización orientada a decisiones</w:t>
      </w:r>
    </w:p>
    <w:p>
      <w:pPr>
        <w:pStyle w:val="Textoindependiente"/>
        <w:spacing w:after="0" w:before="0"/>
        <w:ind w:firstLine="432"/>
        <w:jc w:val="both"/>
      </w:pPr>
      <w:r>
        <w:rPr>
          <w:rFonts w:ascii="Times New Roman" w:cs="Times New Roman" w:eastAsia="Times New Roman" w:hAnsi="Times New Roman"/>
          <w:sz w:val="20"/>
          <w:szCs w:val="20"/>
        </w:rPr>
        <w:t xml:space="preserve">Un dashboard efectivo debe reducir la carga cognitiva, usar nombres naturales y destacar los indicadores relevantes. La selección de gráficos, colores, filtros y textos interpretativos debe responder a una pregunta concreta y no limitarse a mostrar datos disponibles (Few, 2012; Cairo, 2019). Estudios recientes sobre diseño de tableros de Business Intelligence confirman que la agrupación de KPIs por pregunta analítica y el uso consistente de filtros entre páginas mejoran la velocidad de interpretación del usuario final, criterios que guiaron el refinamiento de las tres páginas de Power BI de este proyecto (Orlovskyi &amp; Kopp, 2020).</w:t>
      </w:r>
    </w:p>
    <w:p>
      <w:pPr>
        <w:spacing w:after="40" w:before="140"/>
      </w:pPr>
      <w:r>
        <w:rPr>
          <w:rFonts w:ascii="Times New Roman" w:cs="Times New Roman" w:eastAsia="Times New Roman" w:hAnsi="Times New Roman"/>
          <w:b/>
          <w:bCs/>
          <w:i/>
          <w:iCs/>
          <w:sz w:val="20"/>
          <w:szCs w:val="20"/>
        </w:rPr>
        <w:t xml:space="preserve">II-D.  Automatización y reproducibilidad</w:t>
      </w:r>
    </w:p>
    <w:p>
      <w:pPr>
        <w:pStyle w:val="Textoindependiente"/>
        <w:spacing w:after="0" w:before="0"/>
        <w:ind w:firstLine="432"/>
        <w:jc w:val="both"/>
      </w:pPr>
      <w:r>
        <w:rPr>
          <w:rFonts w:ascii="Times New Roman" w:cs="Times New Roman" w:eastAsia="Times New Roman" w:hAnsi="Times New Roman"/>
          <w:sz w:val="20"/>
          <w:szCs w:val="20"/>
        </w:rPr>
        <w:t xml:space="preserve">La automatización de un pipeline permite ejecutar tareas en un orden definido, detectar fallos y producir salidas consistentes. En el reto, la integración con RPA se concentró en la recepción de archivos de SUPERCIAS, mientras que pipeline.py coordinó la lectura, transformación, carga, creación de tablas Gold y exportación de CSV. Revisiones sistemáticas recientes sobre adopción de RPA señalan que su mayor beneficio no es únicamente el ahorro de tiempo, sino la reducción de errores manuales en tareas repetitivas de recepción y clasificación de archivos, exactamente el rol que cumple la automatización dentro de este pipeline (Costa et al., 2022).</w:t>
      </w:r>
    </w:p>
    <w:p>
      <w:pPr>
        <w:spacing w:after="100" w:before="200"/>
      </w:pPr>
      <w:r>
        <w:rPr>
          <w:rFonts w:ascii="Times New Roman" w:cs="Times New Roman" w:eastAsia="Times New Roman" w:hAnsi="Times New Roman"/>
          <w:b/>
          <w:bCs/>
          <w:sz w:val="20"/>
          <w:szCs w:val="20"/>
        </w:rPr>
        <w:t xml:space="preserve">III.  Metodología</w:t>
      </w:r>
    </w:p>
    <w:p>
      <w:pPr>
        <w:pStyle w:val="Textoindependiente"/>
        <w:spacing w:after="0" w:before="0"/>
        <w:ind w:firstLine="432"/>
        <w:jc w:val="both"/>
      </w:pPr>
      <w:r>
        <w:rPr>
          <w:rFonts w:ascii="Times New Roman" w:cs="Times New Roman" w:eastAsia="Times New Roman" w:hAnsi="Times New Roman"/>
          <w:sz w:val="20"/>
          <w:szCs w:val="20"/>
        </w:rPr>
        <w:t xml:space="preserve">Se aplicó una metodología incremental durante seis semanas de construcción y una semana de documentación. El proceso comenzó con la definición de arquitectura y modelo ER; continuó con la limpieza de fuentes; consolidó el modelo relacional y las tablas Gold; y finalizó con la integración RPA, el dashboard y la validación de resultados.</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Fase 1 – Diseño: </w:t>
      </w:r>
      <w:r>
        <w:rPr>
          <w:rFonts w:ascii="Times New Roman" w:cs="Times New Roman" w:eastAsia="Times New Roman" w:hAnsi="Times New Roman"/>
          <w:sz w:val="20"/>
          <w:szCs w:val="20"/>
        </w:rPr>
        <w:t xml:space="preserve">fuentes, arquitectura RAW-Silver-Gold y diagrama ER. Producto: arquitectura aprobada.</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Fase 2 – Ingesta: </w:t>
      </w:r>
      <w:r>
        <w:rPr>
          <w:rFonts w:ascii="Times New Roman" w:cs="Times New Roman" w:eastAsia="Times New Roman" w:hAnsi="Times New Roman"/>
          <w:sz w:val="20"/>
          <w:szCs w:val="20"/>
        </w:rPr>
        <w:t xml:space="preserve">lectura de CSV, Excel y SQL de BCE, INEC, MINEDUC y SUPERCIAS. Producto: registros RAW.</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Fase 3 – Limpieza: </w:t>
      </w:r>
      <w:r>
        <w:rPr>
          <w:rFonts w:ascii="Times New Roman" w:cs="Times New Roman" w:eastAsia="Times New Roman" w:hAnsi="Times New Roman"/>
          <w:sz w:val="20"/>
          <w:szCs w:val="20"/>
        </w:rPr>
        <w:t xml:space="preserve">tipado, fechas, nulos, duplicados y normalización territorial. Producto: tablas Silver.</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Fase 4 – Modelado: </w:t>
      </w:r>
      <w:r>
        <w:rPr>
          <w:rFonts w:ascii="Times New Roman" w:cs="Times New Roman" w:eastAsia="Times New Roman" w:hAnsi="Times New Roman"/>
          <w:sz w:val="20"/>
          <w:szCs w:val="20"/>
        </w:rPr>
        <w:t xml:space="preserve">dimensiones, hechos y relaciones. Producto: base SQLite relacional.</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Fase 5 – Curación: </w:t>
      </w:r>
      <w:r>
        <w:rPr>
          <w:rFonts w:ascii="Times New Roman" w:cs="Times New Roman" w:eastAsia="Times New Roman" w:hAnsi="Times New Roman"/>
          <w:sz w:val="20"/>
          <w:szCs w:val="20"/>
        </w:rPr>
        <w:t xml:space="preserve">agregaciones por provincia, CIIU, año y cruce educación-empresas. Producto: tablas Gold.</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Fase 6 – Visualización: </w:t>
      </w:r>
      <w:r>
        <w:rPr>
          <w:rFonts w:ascii="Times New Roman" w:cs="Times New Roman" w:eastAsia="Times New Roman" w:hAnsi="Times New Roman"/>
          <w:sz w:val="20"/>
          <w:szCs w:val="20"/>
        </w:rPr>
        <w:t xml:space="preserve">tres páginas con KPIs, filtros e insights. Producto: dashboard Power BI.</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Fase 7 – Validación: </w:t>
      </w:r>
      <w:r>
        <w:rPr>
          <w:rFonts w:ascii="Times New Roman" w:cs="Times New Roman" w:eastAsia="Times New Roman" w:hAnsi="Times New Roman"/>
          <w:sz w:val="20"/>
          <w:szCs w:val="20"/>
        </w:rPr>
        <w:t xml:space="preserve">ejecución del pipeline y revisión del repositorio. Producto: sistema reproducible.</w:t>
      </w:r>
    </w:p>
    <w:p>
      <w:pPr>
        <w:pStyle w:val="Textoindependiente"/>
        <w:spacing w:after="0" w:before="80"/>
        <w:ind w:firstLine="432"/>
        <w:jc w:val="both"/>
      </w:pPr>
      <w:r>
        <w:rPr>
          <w:rFonts w:ascii="Times New Roman" w:cs="Times New Roman" w:eastAsia="Times New Roman" w:hAnsi="Times New Roman"/>
          <w:sz w:val="20"/>
          <w:szCs w:val="20"/>
        </w:rPr>
        <w:t xml:space="preserve">Para MINEDUC se utilizó el último año lectivo disponible y se filtró educación ordinaria. La fuente no incluyó una desagregación confiable por tercer año de bachillerato; por tanto, el indicador se documentó como aproximación territorial de demanda educativa. En SUPERCIAS se filtraron compañías activas y se contaron RUC distintos para evitar duplicidad.</w:t>
      </w:r>
    </w:p>
    <w:p>
      <w:pPr>
        <w:spacing w:after="100" w:before="200"/>
      </w:pPr>
      <w:r>
        <w:rPr>
          <w:rFonts w:ascii="Times New Roman" w:cs="Times New Roman" w:eastAsia="Times New Roman" w:hAnsi="Times New Roman"/>
          <w:b/>
          <w:bCs/>
          <w:sz w:val="20"/>
          <w:szCs w:val="20"/>
        </w:rPr>
        <w:t xml:space="preserve">IV.  Arquitectura de la solución</w:t>
      </w:r>
    </w:p>
    <w:p>
      <w:pPr>
        <w:pStyle w:val="Textoindependiente"/>
        <w:spacing w:after="0" w:before="0"/>
        <w:ind w:firstLine="432"/>
        <w:jc w:val="both"/>
      </w:pPr>
      <w:r>
        <w:rPr>
          <w:rFonts w:ascii="Times New Roman" w:cs="Times New Roman" w:eastAsia="Times New Roman" w:hAnsi="Times New Roman"/>
          <w:sz w:val="20"/>
          <w:szCs w:val="20"/>
        </w:rPr>
        <w:t xml:space="preserve">La solución implementada sigue el flujo Fuentes → RAW → Transformaciones → Silver → Gold → Power BI. Las fuentes BCE, INEC y MINEDUC se descargaron manualmente durante las primeras semanas. Los archivos de SUPERCIAS fueron entregados por la automatización RPA y procesados mediante scripts de Python.</w:t>
      </w:r>
    </w:p>
    <w:p>
      <w:pPr>
        <w:spacing w:after="40" w:before="140"/>
      </w:pPr>
      <w:r>
        <w:rPr>
          <w:rFonts w:ascii="Times New Roman" w:cs="Times New Roman" w:eastAsia="Times New Roman" w:hAnsi="Times New Roman"/>
          <w:b/>
          <w:bCs/>
          <w:i/>
          <w:iCs/>
          <w:sz w:val="20"/>
          <w:szCs w:val="20"/>
        </w:rPr>
        <w:t xml:space="preserve">IV-A.  Capa RAW</w:t>
      </w:r>
    </w:p>
    <w:p>
      <w:pPr>
        <w:pStyle w:val="Textoindependiente"/>
        <w:spacing w:after="0" w:before="0"/>
        <w:ind w:firstLine="432"/>
        <w:jc w:val="both"/>
      </w:pPr>
      <w:r>
        <w:rPr>
          <w:rFonts w:ascii="Times New Roman" w:cs="Times New Roman" w:eastAsia="Times New Roman" w:hAnsi="Times New Roman"/>
          <w:sz w:val="20"/>
          <w:szCs w:val="20"/>
        </w:rPr>
        <w:t xml:space="preserve">Contiene archivos originales CSV, Excel y SQL. Se conservaron sin modificaciones para permitir trazabilidad y reprocesamiento.</w:t>
      </w:r>
    </w:p>
    <w:p>
      <w:pPr>
        <w:spacing w:after="40" w:before="140"/>
      </w:pPr>
      <w:r>
        <w:rPr>
          <w:rFonts w:ascii="Times New Roman" w:cs="Times New Roman" w:eastAsia="Times New Roman" w:hAnsi="Times New Roman"/>
          <w:b/>
          <w:bCs/>
          <w:i/>
          <w:iCs/>
          <w:sz w:val="20"/>
          <w:szCs w:val="20"/>
        </w:rPr>
        <w:t xml:space="preserve">IV-B.  Capa Silver</w:t>
      </w:r>
    </w:p>
    <w:p>
      <w:pPr>
        <w:pStyle w:val="Textoindependiente"/>
        <w:spacing w:after="0" w:before="0"/>
        <w:ind w:firstLine="432"/>
        <w:jc w:val="both"/>
      </w:pPr>
      <w:r>
        <w:rPr>
          <w:rFonts w:ascii="Times New Roman" w:cs="Times New Roman" w:eastAsia="Times New Roman" w:hAnsi="Times New Roman"/>
          <w:sz w:val="20"/>
          <w:szCs w:val="20"/>
        </w:rPr>
        <w:t xml:space="preserve">SQLite almacena tablas de hechos y dimensiones. Entre las estructuras principales se encuentran dim_tiempo, dim_geografia, fact_macro_anual, fact_indicadores_diarios, fact_iee, fact_empleo, fact_vab, fact_empresas_rpa y fact_ranking_empresas_rpa.</w:t>
      </w:r>
    </w:p>
    <w:p>
      <w:pPr>
        <w:spacing w:after="40" w:before="140"/>
      </w:pPr>
      <w:r>
        <w:rPr>
          <w:rFonts w:ascii="Times New Roman" w:cs="Times New Roman" w:eastAsia="Times New Roman" w:hAnsi="Times New Roman"/>
          <w:b/>
          <w:bCs/>
          <w:i/>
          <w:iCs/>
          <w:sz w:val="20"/>
          <w:szCs w:val="20"/>
        </w:rPr>
        <w:t xml:space="preserve">IV-C.  Capa Gold</w:t>
      </w:r>
    </w:p>
    <w:p>
      <w:pPr>
        <w:pStyle w:val="Textoindependiente"/>
        <w:spacing w:after="0" w:before="0"/>
        <w:ind w:firstLine="432"/>
        <w:jc w:val="both"/>
      </w:pPr>
      <w:r>
        <w:rPr>
          <w:rFonts w:ascii="Times New Roman" w:cs="Times New Roman" w:eastAsia="Times New Roman" w:hAnsi="Times New Roman"/>
          <w:sz w:val="20"/>
          <w:szCs w:val="20"/>
        </w:rPr>
        <w:t xml:space="preserve">Las tablas Gold resumen los datos de acuerdo con las necesidades del dashboard: empresas por provincia, situación legal, sector CIIU y año; resumen empresarial; y el cruce gold_bachilleres_vs_empresas. Estas salidas también se exportaron a CSV para facilitar la actualización en Power BI.</w:t>
      </w:r>
    </w:p>
    <w:p>
      <w:pPr>
        <w:spacing w:after="40" w:before="140"/>
      </w:pPr>
      <w:r>
        <w:rPr>
          <w:rFonts w:ascii="Times New Roman" w:cs="Times New Roman" w:eastAsia="Times New Roman" w:hAnsi="Times New Roman"/>
          <w:b/>
          <w:bCs/>
          <w:i/>
          <w:iCs/>
          <w:sz w:val="20"/>
          <w:szCs w:val="20"/>
        </w:rPr>
        <w:t xml:space="preserve">IV-D.  Pipeline automatizado</w:t>
      </w:r>
    </w:p>
    <w:p>
      <w:pPr>
        <w:pStyle w:val="Textoindependiente"/>
        <w:spacing w:after="0" w:before="0"/>
        <w:ind w:firstLine="432"/>
        <w:jc w:val="both"/>
      </w:pPr>
      <w:r>
        <w:rPr>
          <w:rFonts w:ascii="Times New Roman" w:cs="Times New Roman" w:eastAsia="Times New Roman" w:hAnsi="Times New Roman"/>
          <w:sz w:val="20"/>
          <w:szCs w:val="20"/>
        </w:rPr>
        <w:t xml:space="preserve">El archivo pipeline.py ejecuta cinco etapas: procesamiento de SQL de RPA, transformación de SUPERCIAS, creación de tablas Gold empresariales, exportación de CSV y generación del cruce entre estudiantes y empresas. Si un paso devuelve error, el proceso se detiene y muestra la etapa fallida; si todo finaliza correctamente, genera un mensaje de confirmación y deja disponibles las salidas actualizadas.</w:t>
      </w:r>
    </w:p>
    <w:p>
      <w:pPr>
        <w:spacing w:after="100" w:before="200"/>
      </w:pPr>
      <w:r>
        <w:rPr>
          <w:rFonts w:ascii="Times New Roman" w:cs="Times New Roman" w:eastAsia="Times New Roman" w:hAnsi="Times New Roman"/>
          <w:b/>
          <w:bCs/>
          <w:sz w:val="20"/>
          <w:szCs w:val="20"/>
        </w:rPr>
        <w:t xml:space="preserve">V.  Herramientas utilizadas</w:t>
      </w:r>
    </w:p>
    <w:p>
      <w:pPr>
        <w:pStyle w:val="Textoindependiente"/>
        <w:spacing w:after="0" w:before="0"/>
        <w:ind w:firstLine="432"/>
        <w:jc w:val="both"/>
      </w:pPr>
      <w:r>
        <w:rPr>
          <w:rFonts w:ascii="Times New Roman" w:cs="Times New Roman" w:eastAsia="Times New Roman" w:hAnsi="Times New Roman"/>
          <w:sz w:val="20"/>
          <w:szCs w:val="20"/>
        </w:rPr>
        <w:t xml:space="preserve">El desarrollo del pipeline combinó herramientas especializadas para cada etapa: orquestación, almacenamiento, automatización y visualización. La Tabla I resume las tecnologías empleadas y su función principal dentro de la solución.</w:t>
      </w:r>
    </w:p>
    <w:p>
      <w:pPr>
        <w:spacing w:after="20" w:before="100"/>
        <w:jc w:val="center"/>
      </w:pPr>
      <w:r>
        <w:rPr>
          <w:rFonts w:ascii="Times New Roman" w:cs="Times New Roman" w:eastAsia="Times New Roman" w:hAnsi="Times New Roman"/>
          <w:b/>
          <w:bCs/>
          <w:sz w:val="18"/>
          <w:szCs w:val="18"/>
        </w:rPr>
        <w:t xml:space="preserve">Tabla I</w:t>
      </w:r>
    </w:p>
    <w:p>
      <w:pPr>
        <w:spacing w:after="100"/>
        <w:jc w:val="center"/>
      </w:pPr>
      <w:r>
        <w:rPr>
          <w:rFonts w:ascii="Times New Roman" w:cs="Times New Roman" w:eastAsia="Times New Roman" w:hAnsi="Times New Roman"/>
          <w:b/>
          <w:bCs/>
          <w:sz w:val="18"/>
          <w:szCs w:val="18"/>
        </w:rPr>
        <w:t xml:space="preserve">Herramientas del Pipeline y su Uso Principal</w:t>
      </w:r>
    </w:p>
    <w:tbl>
      <w:tblPr>
        <w:tblW w:type="dxa" w:w="7105"/>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505"/>
      </w:tblGrid>
      <w:tr>
        <w:tc>
          <w:tcPr>
            <w:tcW w:type="dxa" w:w="1900"/>
            <w:shd w:fill="D9D9D9" w:val="clear"/>
          </w:tcPr>
          <w:p>
            <w:pPr>
              <w:spacing w:after="60"/>
              <w:jc w:val="center"/>
            </w:pPr>
            <w:r>
              <w:rPr>
                <w:rFonts w:ascii="Times New Roman" w:cs="Times New Roman" w:eastAsia="Times New Roman" w:hAnsi="Times New Roman"/>
                <w:b/>
                <w:bCs/>
                <w:sz w:val="18"/>
                <w:szCs w:val="18"/>
              </w:rPr>
              <w:t xml:space="preserve">Herramienta</w:t>
            </w:r>
          </w:p>
        </w:tc>
        <w:tc>
          <w:tcPr>
            <w:tcW w:type="dxa" w:w="1700"/>
            <w:shd w:fill="D9D9D9" w:val="clear"/>
          </w:tcPr>
          <w:p>
            <w:pPr>
              <w:spacing w:after="60"/>
              <w:jc w:val="center"/>
            </w:pPr>
            <w:r>
              <w:rPr>
                <w:rFonts w:ascii="Times New Roman" w:cs="Times New Roman" w:eastAsia="Times New Roman" w:hAnsi="Times New Roman"/>
                <w:b/>
                <w:bCs/>
                <w:sz w:val="18"/>
                <w:szCs w:val="18"/>
              </w:rPr>
              <w:t xml:space="preserve">Área</w:t>
            </w:r>
          </w:p>
        </w:tc>
        <w:tc>
          <w:tcPr>
            <w:tcW w:type="dxa" w:w="3505"/>
            <w:shd w:fill="D9D9D9" w:val="clear"/>
          </w:tcPr>
          <w:p>
            <w:pPr>
              <w:spacing w:after="60"/>
              <w:jc w:val="center"/>
            </w:pPr>
            <w:r>
              <w:rPr>
                <w:rFonts w:ascii="Times New Roman" w:cs="Times New Roman" w:eastAsia="Times New Roman" w:hAnsi="Times New Roman"/>
                <w:b/>
                <w:bCs/>
                <w:sz w:val="18"/>
                <w:szCs w:val="18"/>
              </w:rPr>
              <w:t xml:space="preserve">Uso principal</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Python 3.13</w:t>
            </w:r>
          </w:p>
        </w:tc>
        <w:tc>
          <w:tcPr>
            <w:tcW w:type="dxa" w:w="1700"/>
          </w:tcPr>
          <w:p>
            <w:pPr>
              <w:spacing w:after="60"/>
              <w:jc w:val="center"/>
            </w:pPr>
            <w:r>
              <w:rPr>
                <w:rFonts w:ascii="Times New Roman" w:cs="Times New Roman" w:eastAsia="Times New Roman" w:hAnsi="Times New Roman"/>
                <w:b w:val="false"/>
                <w:bCs w:val="false"/>
                <w:sz w:val="18"/>
                <w:szCs w:val="18"/>
              </w:rPr>
              <w:t xml:space="preserve">Orquestación</w:t>
            </w:r>
          </w:p>
        </w:tc>
        <w:tc>
          <w:tcPr>
            <w:tcW w:type="dxa" w:w="3505"/>
          </w:tcPr>
          <w:p>
            <w:pPr>
              <w:spacing w:after="60"/>
              <w:jc w:val="center"/>
            </w:pPr>
            <w:r>
              <w:rPr>
                <w:rFonts w:ascii="Times New Roman" w:cs="Times New Roman" w:eastAsia="Times New Roman" w:hAnsi="Times New Roman"/>
                <w:b w:val="false"/>
                <w:bCs w:val="false"/>
                <w:sz w:val="18"/>
                <w:szCs w:val="18"/>
              </w:rPr>
              <w:t xml:space="preserve">Lectura de archivos y ejecución del pipeline.</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pandas</w:t>
            </w:r>
          </w:p>
        </w:tc>
        <w:tc>
          <w:tcPr>
            <w:tcW w:type="dxa" w:w="1700"/>
          </w:tcPr>
          <w:p>
            <w:pPr>
              <w:spacing w:after="60"/>
              <w:jc w:val="center"/>
            </w:pPr>
            <w:r>
              <w:rPr>
                <w:rFonts w:ascii="Times New Roman" w:cs="Times New Roman" w:eastAsia="Times New Roman" w:hAnsi="Times New Roman"/>
                <w:b w:val="false"/>
                <w:bCs w:val="false"/>
                <w:sz w:val="18"/>
                <w:szCs w:val="18"/>
              </w:rPr>
              <w:t xml:space="preserve">Ingeniería / Analítica</w:t>
            </w:r>
          </w:p>
        </w:tc>
        <w:tc>
          <w:tcPr>
            <w:tcW w:type="dxa" w:w="3505"/>
          </w:tcPr>
          <w:p>
            <w:pPr>
              <w:spacing w:after="60"/>
              <w:jc w:val="center"/>
            </w:pPr>
            <w:r>
              <w:rPr>
                <w:rFonts w:ascii="Times New Roman" w:cs="Times New Roman" w:eastAsia="Times New Roman" w:hAnsi="Times New Roman"/>
                <w:b w:val="false"/>
                <w:bCs w:val="false"/>
                <w:sz w:val="18"/>
                <w:szCs w:val="18"/>
              </w:rPr>
              <w:t xml:space="preserve">Limpieza, transformación, agregación y exportación de datos.</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SQLite</w:t>
            </w:r>
          </w:p>
        </w:tc>
        <w:tc>
          <w:tcPr>
            <w:tcW w:type="dxa" w:w="1700"/>
          </w:tcPr>
          <w:p>
            <w:pPr>
              <w:spacing w:after="60"/>
              <w:jc w:val="center"/>
            </w:pPr>
            <w:r>
              <w:rPr>
                <w:rFonts w:ascii="Times New Roman" w:cs="Times New Roman" w:eastAsia="Times New Roman" w:hAnsi="Times New Roman"/>
                <w:b w:val="false"/>
                <w:bCs w:val="false"/>
                <w:sz w:val="18"/>
                <w:szCs w:val="18"/>
              </w:rPr>
              <w:t xml:space="preserve">Almacenamiento</w:t>
            </w:r>
          </w:p>
        </w:tc>
        <w:tc>
          <w:tcPr>
            <w:tcW w:type="dxa" w:w="3505"/>
          </w:tcPr>
          <w:p>
            <w:pPr>
              <w:spacing w:after="60"/>
              <w:jc w:val="center"/>
            </w:pPr>
            <w:r>
              <w:rPr>
                <w:rFonts w:ascii="Times New Roman" w:cs="Times New Roman" w:eastAsia="Times New Roman" w:hAnsi="Times New Roman"/>
                <w:b w:val="false"/>
                <w:bCs w:val="false"/>
                <w:sz w:val="18"/>
                <w:szCs w:val="18"/>
              </w:rPr>
              <w:t xml:space="preserve">Motor relacional para el alcance de cuarto ciclo.</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openpyxl</w:t>
            </w:r>
          </w:p>
        </w:tc>
        <w:tc>
          <w:tcPr>
            <w:tcW w:type="dxa" w:w="1700"/>
          </w:tcPr>
          <w:p>
            <w:pPr>
              <w:spacing w:after="60"/>
              <w:jc w:val="center"/>
            </w:pPr>
            <w:r>
              <w:rPr>
                <w:rFonts w:ascii="Times New Roman" w:cs="Times New Roman" w:eastAsia="Times New Roman" w:hAnsi="Times New Roman"/>
                <w:b w:val="false"/>
                <w:bCs w:val="false"/>
                <w:sz w:val="18"/>
                <w:szCs w:val="18"/>
              </w:rPr>
              <w:t xml:space="preserve">Ingeniería</w:t>
            </w:r>
          </w:p>
        </w:tc>
        <w:tc>
          <w:tcPr>
            <w:tcW w:type="dxa" w:w="3505"/>
          </w:tcPr>
          <w:p>
            <w:pPr>
              <w:spacing w:after="60"/>
              <w:jc w:val="center"/>
            </w:pPr>
            <w:r>
              <w:rPr>
                <w:rFonts w:ascii="Times New Roman" w:cs="Times New Roman" w:eastAsia="Times New Roman" w:hAnsi="Times New Roman"/>
                <w:b w:val="false"/>
                <w:bCs w:val="false"/>
                <w:sz w:val="18"/>
                <w:szCs w:val="18"/>
              </w:rPr>
              <w:t xml:space="preserve">Lectura de archivos Excel de fuentes públicas.</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Power BI</w:t>
            </w:r>
          </w:p>
        </w:tc>
        <w:tc>
          <w:tcPr>
            <w:tcW w:type="dxa" w:w="1700"/>
          </w:tcPr>
          <w:p>
            <w:pPr>
              <w:spacing w:after="60"/>
              <w:jc w:val="center"/>
            </w:pPr>
            <w:r>
              <w:rPr>
                <w:rFonts w:ascii="Times New Roman" w:cs="Times New Roman" w:eastAsia="Times New Roman" w:hAnsi="Times New Roman"/>
                <w:b w:val="false"/>
                <w:bCs w:val="false"/>
                <w:sz w:val="18"/>
                <w:szCs w:val="18"/>
              </w:rPr>
              <w:t xml:space="preserve">Visualización</w:t>
            </w:r>
          </w:p>
        </w:tc>
        <w:tc>
          <w:tcPr>
            <w:tcW w:type="dxa" w:w="3505"/>
          </w:tcPr>
          <w:p>
            <w:pPr>
              <w:spacing w:after="60"/>
              <w:jc w:val="center"/>
            </w:pPr>
            <w:r>
              <w:rPr>
                <w:rFonts w:ascii="Times New Roman" w:cs="Times New Roman" w:eastAsia="Times New Roman" w:hAnsi="Times New Roman"/>
                <w:b w:val="false"/>
                <w:bCs w:val="false"/>
                <w:sz w:val="18"/>
                <w:szCs w:val="18"/>
              </w:rPr>
              <w:t xml:space="preserve">Dashboards, KPIs, filtros e insights.</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Power Automate Desktop / RPA</w:t>
            </w:r>
          </w:p>
        </w:tc>
        <w:tc>
          <w:tcPr>
            <w:tcW w:type="dxa" w:w="1700"/>
          </w:tcPr>
          <w:p>
            <w:pPr>
              <w:spacing w:after="60"/>
              <w:jc w:val="center"/>
            </w:pPr>
            <w:r>
              <w:rPr>
                <w:rFonts w:ascii="Times New Roman" w:cs="Times New Roman" w:eastAsia="Times New Roman" w:hAnsi="Times New Roman"/>
                <w:b w:val="false"/>
                <w:bCs w:val="false"/>
                <w:sz w:val="18"/>
                <w:szCs w:val="18"/>
              </w:rPr>
              <w:t xml:space="preserve">Automatización</w:t>
            </w:r>
          </w:p>
        </w:tc>
        <w:tc>
          <w:tcPr>
            <w:tcW w:type="dxa" w:w="3505"/>
          </w:tcPr>
          <w:p>
            <w:pPr>
              <w:spacing w:after="60"/>
              <w:jc w:val="center"/>
            </w:pPr>
            <w:r>
              <w:rPr>
                <w:rFonts w:ascii="Times New Roman" w:cs="Times New Roman" w:eastAsia="Times New Roman" w:hAnsi="Times New Roman"/>
                <w:b w:val="false"/>
                <w:bCs w:val="false"/>
                <w:sz w:val="18"/>
                <w:szCs w:val="18"/>
              </w:rPr>
              <w:t xml:space="preserve">Descarga y entrega automática de archivos empresariales.</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GitHub</w:t>
            </w:r>
          </w:p>
        </w:tc>
        <w:tc>
          <w:tcPr>
            <w:tcW w:type="dxa" w:w="1700"/>
          </w:tcPr>
          <w:p>
            <w:pPr>
              <w:spacing w:after="60"/>
              <w:jc w:val="center"/>
            </w:pPr>
            <w:r>
              <w:rPr>
                <w:rFonts w:ascii="Times New Roman" w:cs="Times New Roman" w:eastAsia="Times New Roman" w:hAnsi="Times New Roman"/>
                <w:b w:val="false"/>
                <w:bCs w:val="false"/>
                <w:sz w:val="18"/>
                <w:szCs w:val="18"/>
              </w:rPr>
              <w:t xml:space="preserve">Gestión de proyecto</w:t>
            </w:r>
          </w:p>
        </w:tc>
        <w:tc>
          <w:tcPr>
            <w:tcW w:type="dxa" w:w="3505"/>
          </w:tcPr>
          <w:p>
            <w:pPr>
              <w:spacing w:after="60"/>
              <w:jc w:val="center"/>
            </w:pPr>
            <w:r>
              <w:rPr>
                <w:rFonts w:ascii="Times New Roman" w:cs="Times New Roman" w:eastAsia="Times New Roman" w:hAnsi="Times New Roman"/>
                <w:b w:val="false"/>
                <w:bCs w:val="false"/>
                <w:sz w:val="18"/>
                <w:szCs w:val="18"/>
              </w:rPr>
              <w:t xml:space="preserve">Versionamiento de código, documentación y evidencias.</w:t>
            </w:r>
          </w:p>
        </w:tc>
      </w:tr>
      <w:tr>
        <w:tc>
          <w:tcPr>
            <w:tcW w:type="dxa" w:w="1900"/>
          </w:tcPr>
          <w:p>
            <w:pPr>
              <w:spacing w:after="60"/>
              <w:jc w:val="center"/>
            </w:pPr>
            <w:r>
              <w:rPr>
                <w:rFonts w:ascii="Times New Roman" w:cs="Times New Roman" w:eastAsia="Times New Roman" w:hAnsi="Times New Roman"/>
                <w:b w:val="false"/>
                <w:bCs w:val="false"/>
                <w:sz w:val="18"/>
                <w:szCs w:val="18"/>
              </w:rPr>
              <w:t xml:space="preserve">Visual Studio Code</w:t>
            </w:r>
          </w:p>
        </w:tc>
        <w:tc>
          <w:tcPr>
            <w:tcW w:type="dxa" w:w="1700"/>
          </w:tcPr>
          <w:p>
            <w:pPr>
              <w:spacing w:after="60"/>
              <w:jc w:val="center"/>
            </w:pPr>
            <w:r>
              <w:rPr>
                <w:rFonts w:ascii="Times New Roman" w:cs="Times New Roman" w:eastAsia="Times New Roman" w:hAnsi="Times New Roman"/>
                <w:b w:val="false"/>
                <w:bCs w:val="false"/>
                <w:sz w:val="18"/>
                <w:szCs w:val="18"/>
              </w:rPr>
              <w:t xml:space="preserve">Desarrollo</w:t>
            </w:r>
          </w:p>
        </w:tc>
        <w:tc>
          <w:tcPr>
            <w:tcW w:type="dxa" w:w="3505"/>
          </w:tcPr>
          <w:p>
            <w:pPr>
              <w:spacing w:after="60"/>
              <w:jc w:val="center"/>
            </w:pPr>
            <w:r>
              <w:rPr>
                <w:rFonts w:ascii="Times New Roman" w:cs="Times New Roman" w:eastAsia="Times New Roman" w:hAnsi="Times New Roman"/>
                <w:b w:val="false"/>
                <w:bCs w:val="false"/>
                <w:sz w:val="18"/>
                <w:szCs w:val="18"/>
              </w:rPr>
              <w:t xml:space="preserve">Escritura, organización y ejecución de scripts.</w:t>
            </w:r>
          </w:p>
        </w:tc>
      </w:tr>
    </w:tbl>
    <w:p>
      <w:pPr>
        <w:pStyle w:val="Textoindependiente"/>
        <w:spacing w:after="0" w:before="120"/>
        <w:ind w:firstLine="432"/>
        <w:jc w:val="both"/>
      </w:pPr>
      <w:r>
        <w:rPr>
          <w:rFonts w:ascii="Times New Roman" w:cs="Times New Roman" w:eastAsia="Times New Roman" w:hAnsi="Times New Roman"/>
          <w:sz w:val="20"/>
          <w:szCs w:val="20"/>
        </w:rPr>
        <w:t xml:space="preserve">La combinación resultó suficiente para el alcance académico de cuarto ciclo: Python y pandas cubrieron la orquestación y limpieza, SQLite ofreció un motor relacional liviano, y Power BI permitió comunicar los resultados sin requerir infraestructura adicional.</w:t>
      </w:r>
    </w:p>
    <w:p>
      <w:pPr>
        <w:spacing w:after="100" w:before="200"/>
      </w:pPr>
      <w:r>
        <w:rPr>
          <w:rFonts w:ascii="Times New Roman" w:cs="Times New Roman" w:eastAsia="Times New Roman" w:hAnsi="Times New Roman"/>
          <w:b/>
          <w:bCs/>
          <w:sz w:val="20"/>
          <w:szCs w:val="20"/>
        </w:rPr>
        <w:t xml:space="preserve">VI.  Resultados</w:t>
      </w:r>
    </w:p>
    <w:p>
      <w:pPr>
        <w:spacing w:after="40" w:before="140"/>
      </w:pPr>
      <w:r>
        <w:rPr>
          <w:rFonts w:ascii="Times New Roman" w:cs="Times New Roman" w:eastAsia="Times New Roman" w:hAnsi="Times New Roman"/>
          <w:b/>
          <w:bCs/>
          <w:i/>
          <w:iCs/>
          <w:sz w:val="20"/>
          <w:szCs w:val="20"/>
        </w:rPr>
        <w:t xml:space="preserve">VI-A.  Resultados técnicos</w:t>
      </w:r>
    </w:p>
    <w:p>
      <w:pPr>
        <w:pStyle w:val="Textoindependiente"/>
        <w:spacing w:after="0" w:before="0"/>
        <w:ind w:firstLine="432"/>
        <w:jc w:val="both"/>
      </w:pPr>
      <w:r>
        <w:rPr>
          <w:rFonts w:ascii="Times New Roman" w:cs="Times New Roman" w:eastAsia="Times New Roman" w:hAnsi="Times New Roman"/>
          <w:sz w:val="20"/>
          <w:szCs w:val="20"/>
        </w:rPr>
        <w:t xml:space="preserve">La ejecución final completó correctamente los cinco pasos del pipeline. Se almacenaron 1.950.119 registros en SQLite, se identificaron 219.754 empresas únicas en el directorio y se procesaron 1.672.590 registros financieros, de los cuales 1.345.488 contaban con provincia. Las tablas Gold empresariales se generaron y exportaron sin errores.</w:t>
      </w:r>
    </w:p>
    <w:p>
      <w:pPr>
        <w:spacing w:after="40" w:before="140"/>
      </w:pPr>
      <w:r>
        <w:rPr>
          <w:rFonts w:ascii="Times New Roman" w:cs="Times New Roman" w:eastAsia="Times New Roman" w:hAnsi="Times New Roman"/>
          <w:b/>
          <w:bCs/>
          <w:i/>
          <w:iCs/>
          <w:sz w:val="20"/>
          <w:szCs w:val="20"/>
        </w:rPr>
        <w:t xml:space="preserve">VI-B.  Página 1: evolución económica</w:t>
      </w:r>
    </w:p>
    <w:p>
      <w:pPr>
        <w:pStyle w:val="Textoindependiente"/>
        <w:spacing w:after="0" w:before="0"/>
        <w:ind w:firstLine="432"/>
        <w:jc w:val="both"/>
      </w:pPr>
      <w:r>
        <w:rPr>
          <w:rFonts w:ascii="Times New Roman" w:cs="Times New Roman" w:eastAsia="Times New Roman" w:hAnsi="Times New Roman"/>
          <w:sz w:val="20"/>
          <w:szCs w:val="20"/>
        </w:rPr>
        <w:t xml:space="preserve">La primera página presenta el PIB per cápita nominal, la variación anual del PIB, el índice de expectativas empresariales y los indicadores más recientes. El resultado muestra una tendencia creciente de largo plazo, interrumpida por años de contracción y recuperación. La visualización de variación permite diferenciar periodos positivos y negativos con colores interpretables.</w:t>
      </w:r>
    </w:p>
    <w:p>
      <w:pPr>
        <w:spacing w:after="40" w:before="140"/>
      </w:pPr>
      <w:r>
        <w:rPr>
          <w:rFonts w:ascii="Times New Roman" w:cs="Times New Roman" w:eastAsia="Times New Roman" w:hAnsi="Times New Roman"/>
          <w:b/>
          <w:bCs/>
          <w:i/>
          <w:iCs/>
          <w:sz w:val="20"/>
          <w:szCs w:val="20"/>
        </w:rPr>
        <w:t xml:space="preserve">VI-C.  Página 2: actividad económica y empleo</w:t>
      </w:r>
    </w:p>
    <w:p>
      <w:pPr>
        <w:pStyle w:val="Textoindependiente"/>
        <w:spacing w:after="0" w:before="0"/>
        <w:ind w:firstLine="432"/>
        <w:jc w:val="both"/>
      </w:pPr>
      <w:r>
        <w:rPr>
          <w:rFonts w:ascii="Times New Roman" w:cs="Times New Roman" w:eastAsia="Times New Roman" w:hAnsi="Times New Roman"/>
          <w:sz w:val="20"/>
          <w:szCs w:val="20"/>
        </w:rPr>
        <w:t xml:space="preserve">La segunda página evidencia concentración del VAB en provincias como Pichincha, Orellana y Manabí. El análisis empresarial por CIIU muestra que Comercio concentra el mayor número de empresas activas. La tasa de desempleo reciente fue de 3,70 %, frente a 6,50 % en el periodo anterior, lo que representa una mejora de 2,80 puntos porcentuales.</w:t>
      </w:r>
    </w:p>
    <w:p>
      <w:pPr>
        <w:spacing w:after="40" w:before="140"/>
      </w:pPr>
      <w:r>
        <w:rPr>
          <w:rFonts w:ascii="Times New Roman" w:cs="Times New Roman" w:eastAsia="Times New Roman" w:hAnsi="Times New Roman"/>
          <w:b/>
          <w:bCs/>
          <w:i/>
          <w:iCs/>
          <w:sz w:val="20"/>
          <w:szCs w:val="20"/>
        </w:rPr>
        <w:t xml:space="preserve">VI-D.  Página 3: demanda educativa y empresas</w:t>
      </w:r>
    </w:p>
    <w:p>
      <w:pPr>
        <w:pStyle w:val="Textoindependiente"/>
        <w:spacing w:after="0" w:before="0"/>
        <w:ind w:firstLine="432"/>
        <w:jc w:val="both"/>
      </w:pPr>
      <w:r>
        <w:rPr>
          <w:rFonts w:ascii="Times New Roman" w:cs="Times New Roman" w:eastAsia="Times New Roman" w:hAnsi="Times New Roman"/>
          <w:sz w:val="20"/>
          <w:szCs w:val="20"/>
        </w:rPr>
        <w:t xml:space="preserve">El cruce territorial generó 25 filas y registró 4.059.992 estudiantes de educación ordinaria junto con 179.447 empresas activas. El ratio nacional fue de 22,63 estudiantes por empresa. Esmeraldas, Bolívar y Los Ríos presentaron los mayores ratios, resultado que puede orientar estrategias de difusión y captación institucional.</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Registros almacenados: 1.950.119.</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Empresas únicas: 219.754.</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Registros financieros: 1.672.590.</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Estudiantes de educación ordinaria: 4.059.992.</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Empresas activas en el cruce territorial: 179.447.</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Ratio nacional: 22,63 estudiantes por empresa.</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Desempleo actual: 3,70 %.</w:t>
      </w:r>
    </w:p>
    <w:p>
      <w:pPr>
        <w:spacing w:after="60"/>
        <w:ind w:left="260" w:hanging="13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Cambio frente al periodo anterior: -2,80 puntos porcentuales.</w:t>
      </w:r>
    </w:p>
    <w:p>
      <w:pPr>
        <w:spacing w:after="100" w:before="200"/>
      </w:pPr>
      <w:r>
        <w:rPr>
          <w:rFonts w:ascii="Times New Roman" w:cs="Times New Roman" w:eastAsia="Times New Roman" w:hAnsi="Times New Roman"/>
          <w:b/>
          <w:bCs/>
          <w:sz w:val="20"/>
          <w:szCs w:val="20"/>
        </w:rPr>
        <w:t xml:space="preserve">VII.  Conclusiones</w:t>
      </w:r>
    </w:p>
    <w:p>
      <w:pPr>
        <w:pStyle w:val="Textoindependiente"/>
        <w:spacing w:after="0" w:before="0"/>
        <w:ind w:firstLine="432"/>
        <w:jc w:val="both"/>
      </w:pPr>
      <w:r>
        <w:rPr>
          <w:rFonts w:ascii="Times New Roman" w:cs="Times New Roman" w:eastAsia="Times New Roman" w:hAnsi="Times New Roman"/>
          <w:sz w:val="20"/>
          <w:szCs w:val="20"/>
        </w:rPr>
        <w:t xml:space="preserve">La arquitectura Medallón permitió organizar fuentes heterogéneas en etapas verificables, manteniendo separación entre archivos originales, datos limpios y salidas analíticas.</w:t>
      </w:r>
    </w:p>
    <w:p>
      <w:pPr>
        <w:pStyle w:val="Textoindependiente"/>
        <w:spacing w:after="0" w:before="0"/>
        <w:ind w:firstLine="432"/>
        <w:jc w:val="both"/>
      </w:pPr>
      <w:r>
        <w:rPr>
          <w:rFonts w:ascii="Times New Roman" w:cs="Times New Roman" w:eastAsia="Times New Roman" w:hAnsi="Times New Roman"/>
          <w:sz w:val="20"/>
          <w:szCs w:val="20"/>
        </w:rPr>
        <w:t xml:space="preserve">La combinación de Python, pandas y SQLite fue suficiente para construir una solución reproducible dentro del alcance de cuarto ciclo, mientras que Power BI permitió comunicar los resultados mediante visualizaciones comprensibles y filtros sencillos.</w:t>
      </w:r>
    </w:p>
    <w:p>
      <w:pPr>
        <w:pStyle w:val="Textoindependiente"/>
        <w:spacing w:after="0" w:before="0"/>
        <w:ind w:firstLine="432"/>
        <w:jc w:val="both"/>
      </w:pPr>
      <w:r>
        <w:rPr>
          <w:rFonts w:ascii="Times New Roman" w:cs="Times New Roman" w:eastAsia="Times New Roman" w:hAnsi="Times New Roman"/>
          <w:sz w:val="20"/>
          <w:szCs w:val="20"/>
        </w:rPr>
        <w:t xml:space="preserve">La integración con RPA redujo la intervención manual en la recepción y procesamiento de archivos de SUPERCIAS. La ejecución completa demostró que el dashboard puede actualizarse sin reconstruir sus visualizaciones.</w:t>
      </w:r>
    </w:p>
    <w:p>
      <w:pPr>
        <w:pStyle w:val="Textoindependiente"/>
        <w:spacing w:after="0" w:before="0"/>
        <w:ind w:firstLine="432"/>
        <w:jc w:val="both"/>
      </w:pPr>
      <w:r>
        <w:rPr>
          <w:rFonts w:ascii="Times New Roman" w:cs="Times New Roman" w:eastAsia="Times New Roman" w:hAnsi="Times New Roman"/>
          <w:sz w:val="20"/>
          <w:szCs w:val="20"/>
        </w:rPr>
        <w:t xml:space="preserve">El análisis territorial de educación y empresas aporta un uso estratégico para la UTPL, aunque debe interpretarse como aproximación debido a la falta de detalle por grado en la fuente de MINEDUC utilizada.</w:t>
      </w:r>
    </w:p>
    <w:p>
      <w:pPr>
        <w:spacing w:after="100" w:before="200"/>
      </w:pPr>
      <w:r>
        <w:rPr>
          <w:rFonts w:ascii="Times New Roman" w:cs="Times New Roman" w:eastAsia="Times New Roman" w:hAnsi="Times New Roman"/>
          <w:b/>
          <w:bCs/>
          <w:sz w:val="20"/>
          <w:szCs w:val="20"/>
        </w:rPr>
        <w:t xml:space="preserve">VIII.  Recomendaciones</w:t>
      </w:r>
    </w:p>
    <w:p>
      <w:pPr>
        <w:pStyle w:val="Textoindependiente"/>
        <w:spacing w:after="0" w:before="0"/>
        <w:ind w:firstLine="432"/>
        <w:jc w:val="both"/>
      </w:pPr>
      <w:r>
        <w:rPr>
          <w:rFonts w:ascii="Times New Roman" w:cs="Times New Roman" w:eastAsia="Times New Roman" w:hAnsi="Times New Roman"/>
          <w:sz w:val="20"/>
          <w:szCs w:val="20"/>
        </w:rPr>
        <w:t xml:space="preserve">Incorporar una fuente educativa con desagregación por curso para calcular específicamente bachilleres de tercer año y mejorar la precisión de la pregunta P3.</w:t>
      </w:r>
    </w:p>
    <w:p>
      <w:pPr>
        <w:pStyle w:val="Textoindependiente"/>
        <w:spacing w:after="0" w:before="0"/>
        <w:ind w:firstLine="432"/>
        <w:jc w:val="both"/>
      </w:pPr>
      <w:r>
        <w:rPr>
          <w:rFonts w:ascii="Times New Roman" w:cs="Times New Roman" w:eastAsia="Times New Roman" w:hAnsi="Times New Roman"/>
          <w:sz w:val="20"/>
          <w:szCs w:val="20"/>
        </w:rPr>
        <w:t xml:space="preserve">Trasladar la solución a PostgreSQL cuando el volumen, la concurrencia o el control de usuarios requieran un motor de producción.</w:t>
      </w:r>
    </w:p>
    <w:p>
      <w:pPr>
        <w:pStyle w:val="Textoindependiente"/>
        <w:spacing w:after="0" w:before="0"/>
        <w:ind w:firstLine="432"/>
        <w:jc w:val="both"/>
      </w:pPr>
      <w:r>
        <w:rPr>
          <w:rFonts w:ascii="Times New Roman" w:cs="Times New Roman" w:eastAsia="Times New Roman" w:hAnsi="Times New Roman"/>
          <w:sz w:val="20"/>
          <w:szCs w:val="20"/>
        </w:rPr>
        <w:t xml:space="preserve">Implementar validaciones automáticas de esquema, nombres de columnas y calidad antes de cargar cada archivo, evitando que cambios en las fuentes afecten silenciosamente el pipeline.</w:t>
      </w:r>
    </w:p>
    <w:p>
      <w:pPr>
        <w:pStyle w:val="Textoindependiente"/>
        <w:spacing w:after="0" w:before="0"/>
        <w:ind w:firstLine="432"/>
        <w:jc w:val="both"/>
      </w:pPr>
      <w:r>
        <w:rPr>
          <w:rFonts w:ascii="Times New Roman" w:cs="Times New Roman" w:eastAsia="Times New Roman" w:hAnsi="Times New Roman"/>
          <w:sz w:val="20"/>
          <w:szCs w:val="20"/>
        </w:rPr>
        <w:t xml:space="preserve">Mantener el acuerdo de integración con RPA, incluyendo estructura de carpetas, formato de nombres, periodicidad y canal de notificación.</w:t>
      </w:r>
    </w:p>
    <w:p>
      <w:pPr>
        <w:pStyle w:val="Textoindependiente"/>
        <w:spacing w:after="0" w:before="0"/>
        <w:ind w:firstLine="432"/>
        <w:jc w:val="both"/>
      </w:pPr>
      <w:r>
        <w:rPr>
          <w:rFonts w:ascii="Times New Roman" w:cs="Times New Roman" w:eastAsia="Times New Roman" w:hAnsi="Times New Roman"/>
          <w:sz w:val="20"/>
          <w:szCs w:val="20"/>
        </w:rPr>
        <w:t xml:space="preserve">Continuar mejorando el dashboard mediante descripciones de sectores CIIU, semaforización coherente y filtros consistentes en todas las páginas.</w:t>
      </w:r>
    </w:p>
    <w:p>
      <w:pPr>
        <w:spacing w:after="100" w:before="200"/>
      </w:pPr>
      <w:r>
        <w:rPr>
          <w:rFonts w:ascii="Times New Roman" w:cs="Times New Roman" w:eastAsia="Times New Roman" w:hAnsi="Times New Roman"/>
          <w:b/>
          <w:bCs/>
          <w:sz w:val="20"/>
          <w:szCs w:val="20"/>
        </w:rPr>
        <w:t xml:space="preserve">Referencias</w:t>
      </w:r>
    </w:p>
    <w:p>
      <w:pPr>
        <w:spacing w:after="80"/>
        <w:ind w:left="260" w:hanging="260"/>
        <w:jc w:val="both"/>
      </w:pPr>
      <w:r>
        <w:rPr>
          <w:rFonts w:ascii="Times New Roman" w:cs="Times New Roman" w:eastAsia="Times New Roman" w:hAnsi="Times New Roman"/>
          <w:sz w:val="18"/>
          <w:szCs w:val="18"/>
        </w:rPr>
        <w:t xml:space="preserve">Armbrust, M., Ghodsi, A., Xin, R., &amp; Zaharia, M. (2021). Lakehouse: A new generation of open platforms that unify data warehousing and advanced analytics. 11th Conference on Innovative Data Systems Research (CIDR 2021), 1–15.</w:t>
      </w:r>
    </w:p>
    <w:p>
      <w:pPr>
        <w:spacing w:after="80"/>
        <w:ind w:left="260" w:hanging="260"/>
        <w:jc w:val="both"/>
      </w:pPr>
      <w:r>
        <w:rPr>
          <w:rFonts w:ascii="Times New Roman" w:cs="Times New Roman" w:eastAsia="Times New Roman" w:hAnsi="Times New Roman"/>
          <w:sz w:val="18"/>
          <w:szCs w:val="18"/>
        </w:rPr>
        <w:t xml:space="preserve">Banco Central del Ecuador. (2026). Indicadores macroeconómicos, VAB e índice de expectativas empresariales.</w:t>
      </w:r>
    </w:p>
    <w:p>
      <w:pPr>
        <w:spacing w:after="80"/>
        <w:ind w:left="260" w:hanging="260"/>
        <w:jc w:val="both"/>
      </w:pPr>
      <w:r>
        <w:rPr>
          <w:rFonts w:ascii="Times New Roman" w:cs="Times New Roman" w:eastAsia="Times New Roman" w:hAnsi="Times New Roman"/>
          <w:sz w:val="18"/>
          <w:szCs w:val="18"/>
        </w:rPr>
        <w:t xml:space="preserve">Cairo, A. (2019). How Charts Lie: Getting Smarter about Visual Information. W. W. Norton &amp; Company.</w:t>
      </w:r>
    </w:p>
    <w:p>
      <w:pPr>
        <w:spacing w:after="80"/>
        <w:ind w:left="260" w:hanging="260"/>
        <w:jc w:val="both"/>
      </w:pPr>
      <w:r>
        <w:rPr>
          <w:rFonts w:ascii="Times New Roman" w:cs="Times New Roman" w:eastAsia="Times New Roman" w:hAnsi="Times New Roman"/>
          <w:sz w:val="18"/>
          <w:szCs w:val="18"/>
        </w:rPr>
        <w:t xml:space="preserve">Costa, S. A. S., Mamede, H. S., &amp; Silva, M. M. (2022). Robotic Process Automation (RPA) adoption: A systematic literature review. Engineering Management in Production and Services, 14(2), 1–12. https://doi.org/10.2478/emj-2022-0012</w:t>
      </w:r>
    </w:p>
    <w:p>
      <w:pPr>
        <w:spacing w:after="80"/>
        <w:ind w:left="260" w:hanging="260"/>
        <w:jc w:val="both"/>
      </w:pPr>
      <w:r>
        <w:rPr>
          <w:rFonts w:ascii="Times New Roman" w:cs="Times New Roman" w:eastAsia="Times New Roman" w:hAnsi="Times New Roman"/>
          <w:sz w:val="18"/>
          <w:szCs w:val="18"/>
        </w:rPr>
        <w:t xml:space="preserve">Few, S. (2012). Now You See It: Simple Visualization Techniques for Quantitative Analysis (2nd ed.). Analytics Press.</w:t>
      </w:r>
    </w:p>
    <w:p>
      <w:pPr>
        <w:spacing w:after="80"/>
        <w:ind w:left="260" w:hanging="260"/>
        <w:jc w:val="both"/>
      </w:pPr>
      <w:r>
        <w:rPr>
          <w:rFonts w:ascii="Times New Roman" w:cs="Times New Roman" w:eastAsia="Times New Roman" w:hAnsi="Times New Roman"/>
          <w:sz w:val="18"/>
          <w:szCs w:val="18"/>
        </w:rPr>
        <w:t xml:space="preserve">Gregório, J., Vieira, P., &amp; Ramos, F. (2024). A framework for current and new data quality dimensions: An overview. Data, 9(12), 151. https://doi.org/10.3390/data9120151</w:t>
      </w:r>
    </w:p>
    <w:p>
      <w:pPr>
        <w:spacing w:after="80"/>
        <w:ind w:left="260" w:hanging="260"/>
        <w:jc w:val="both"/>
      </w:pPr>
      <w:r>
        <w:rPr>
          <w:rFonts w:ascii="Times New Roman" w:cs="Times New Roman" w:eastAsia="Times New Roman" w:hAnsi="Times New Roman"/>
          <w:sz w:val="18"/>
          <w:szCs w:val="18"/>
        </w:rPr>
        <w:t xml:space="preserve">Instituto Nacional de Estadística y Censos. (2026). ENEMDU e indicadores laborales.</w:t>
      </w:r>
    </w:p>
    <w:p>
      <w:pPr>
        <w:spacing w:after="80"/>
        <w:ind w:left="260" w:hanging="260"/>
        <w:jc w:val="both"/>
      </w:pPr>
      <w:r>
        <w:rPr>
          <w:rFonts w:ascii="Times New Roman" w:cs="Times New Roman" w:eastAsia="Times New Roman" w:hAnsi="Times New Roman"/>
          <w:sz w:val="18"/>
          <w:szCs w:val="18"/>
        </w:rPr>
        <w:t xml:space="preserve">Kimball, R., &amp; Ross, M. (2013). The Data Warehouse Toolkit: The Definitive Guide to Dimensional Modeling (3rd ed.). Wiley.</w:t>
      </w:r>
    </w:p>
    <w:p>
      <w:pPr>
        <w:spacing w:after="80"/>
        <w:ind w:left="260" w:hanging="260"/>
        <w:jc w:val="both"/>
      </w:pPr>
      <w:r>
        <w:rPr>
          <w:rFonts w:ascii="Times New Roman" w:cs="Times New Roman" w:eastAsia="Times New Roman" w:hAnsi="Times New Roman"/>
          <w:sz w:val="18"/>
          <w:szCs w:val="18"/>
        </w:rPr>
        <w:t xml:space="preserve">Ministerio de Educación del Ecuador. (2024). Registro Administrativo Histórico AMIE 2009–2024.</w:t>
      </w:r>
    </w:p>
    <w:p>
      <w:pPr>
        <w:spacing w:after="80"/>
        <w:ind w:left="260" w:hanging="260"/>
        <w:jc w:val="both"/>
      </w:pPr>
      <w:r>
        <w:rPr>
          <w:rFonts w:ascii="Times New Roman" w:cs="Times New Roman" w:eastAsia="Times New Roman" w:hAnsi="Times New Roman"/>
          <w:sz w:val="18"/>
          <w:szCs w:val="18"/>
        </w:rPr>
        <w:t xml:space="preserve">Orlovskyi, D., &amp; Kopp, A. (2020). A business intelligence dashboard design approach to improve data analytics and decision making. IT&amp;I-2020: Information Technology and Interactions, 48–59.</w:t>
      </w:r>
    </w:p>
    <w:p>
      <w:pPr>
        <w:spacing w:after="80"/>
        <w:ind w:left="260" w:hanging="260"/>
        <w:jc w:val="both"/>
      </w:pPr>
      <w:r>
        <w:rPr>
          <w:rFonts w:ascii="Times New Roman" w:cs="Times New Roman" w:eastAsia="Times New Roman" w:hAnsi="Times New Roman"/>
          <w:sz w:val="18"/>
          <w:szCs w:val="18"/>
        </w:rPr>
        <w:t xml:space="preserve">Sawadogo, P. N., &amp; Darmont, J. (2021). On data lake architectures and metadata management. Journal of Intelligent Information Systems, 56(1), 97–120.</w:t>
      </w:r>
    </w:p>
    <w:p>
      <w:pPr>
        <w:spacing w:after="80"/>
        <w:ind w:left="260" w:hanging="260"/>
        <w:jc w:val="both"/>
      </w:pPr>
      <w:r>
        <w:rPr>
          <w:rFonts w:ascii="Times New Roman" w:cs="Times New Roman" w:eastAsia="Times New Roman" w:hAnsi="Times New Roman"/>
          <w:sz w:val="18"/>
          <w:szCs w:val="18"/>
        </w:rPr>
        <w:t xml:space="preserve">Superintendencia de Compañías, Valores y Seguros. (2026). Directorio y ranking de compañías.</w:t>
      </w:r>
    </w:p>
    <w:p>
      <w:pPr>
        <w:spacing w:after="80"/>
        <w:ind w:left="260" w:hanging="260"/>
        <w:jc w:val="both"/>
      </w:pPr>
      <w:r>
        <w:rPr>
          <w:rFonts w:ascii="Times New Roman" w:cs="Times New Roman" w:eastAsia="Times New Roman" w:hAnsi="Times New Roman"/>
          <w:sz w:val="18"/>
          <w:szCs w:val="18"/>
        </w:rPr>
        <w:t xml:space="preserve">Universidad Técnica Particular de Loja, DGTITD. (2026). Pipeline de datos del macroentorno ecuatoriano: limpieza, modelo relacional y dashboard analítico. Documento del reto final.</w:t>
      </w:r>
    </w:p>
    <w:sectPr>
      <w:pgSz w:w="15840" w:h="12240" w:orient="landscape"/>
      <w:pgMar w:top="1080" w:right="1000" w:bottom="1080" w:left="12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extoindependiente">
    <w:name w:val="Texto independiente"/>
    <w:basedOn w:val="Normal"/>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2026-07-23T05:57:28.134Z</dcterms:created>
  <dcterms:modified xsi:type="dcterms:W3CDTF">2026-07-23T05:57:28.149Z</dcterms:modified>
</cp:coreProperties>
</file>

<file path=docProps/custom.xml><?xml version="1.0" encoding="utf-8"?>
<Properties xmlns="http://schemas.openxmlformats.org/officeDocument/2006/custom-properties" xmlns:vt="http://schemas.openxmlformats.org/officeDocument/2006/docPropsVTypes"/>
</file>