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Trend Cash FIC FIRF Simples</w:t>
      </w:r>
    </w:p>
    <w:p>
      <w:r>
        <w:t xml:space="preserve">Este fundo foi incluído por sua liquidez e estabilidade. É ideal para quem busca preservar capital com baixo risco e tem janela de resgate ampliada até as 16h, oferecendo flexibilidade para acessar os recursos rapidamente. </w:t>
        <w:br/>
      </w:r>
    </w:p>
    <w:p>
      <w:r>
        <w:t>Trend Inflação Geral FIRF</w:t>
      </w:r>
    </w:p>
    <w:p>
      <w:r>
        <w:t xml:space="preserve">O fundo oferece exposição a títulos atrelados a inflação em um horizonte de médio prazo, ideal para quem busca rendimento real dos seus investimentos (ou seja, acima da inflação). </w:t>
        <w:br/>
        <w:t>Com uma duração média de 5 anos dos vencimentos dos títulos na carteira, esse fundo busca proporcionar um equilíbrio intermediário entre proteção inflacionária e volatilidade. No atual cenário de inflação ainda incerta e rendimentos altos de títulos de renda fixa, seguimos positivos com a alocação em investimentos atrelados à inflação.</w:t>
        <w:br/>
      </w:r>
    </w:p>
    <w:p>
      <w:r>
        <w:t>Trend Pré Fixado FIRF LP</w:t>
      </w:r>
    </w:p>
    <w:p>
      <w:r>
        <w:t xml:space="preserve">No cenário atual, acreditamos que os títulos prefixados apresentam taxas atrativas nos vencimentos mais curtos. Mas com o desafio de controlar a inflação, riscos fiscais e um juro ainda incerto no médio prazo no Brasil, o investimento em prefixado exige cautela e uma alocação calibrada ao apetite a risco do investidor. </w:t>
        <w:br/>
        <w:t>Apesar de investir em ativos prefixados, sua rentabilidade será variável, sofrendo impacto da marcação a mercado dos títulos de renda fixa. Desta forma, sendo recomendado para cenários de juros altos e/ou perspectiva de queda dos juros.</w:t>
        <w:br/>
      </w:r>
    </w:p>
    <w:p>
      <w:r>
        <w:t xml:space="preserve">Trend Crédito Global FIM </w:t>
      </w:r>
    </w:p>
    <w:p>
      <w:r>
        <w:t>Este fundo foi incluído pela sua capacidade de diversificar investimentos na classe de Renda Fixa global (ou seja, em mercados globais), com títulos de alta qualidade, reduzindo o risco local e oferecendo potencial de ganhos em um momento de juros ainda altos no mundo.</w:t>
        <w:br/>
      </w:r>
    </w:p>
    <w:p>
      <w:r>
        <w:t>Trend Ouro Dólar FIM</w:t>
      </w:r>
    </w:p>
    <w:p>
      <w:r>
        <w:t>Esse fundo serve como representativo da classe “Alternativos”, podendo desempenhar pape relevante em momentos de incerteza econômica e alta volatilidade dos mercados. O ouro é visto como um porto seguro, e a variação cambial pode adicionar uma camada extra de diversificação.</w:t>
        <w:br/>
      </w:r>
    </w:p>
    <w:p>
      <w:r>
        <w:t>Trend Qualidade Brasil FIA</w:t>
      </w:r>
    </w:p>
    <w:p>
      <w:r>
        <w:t xml:space="preserve">Este fundo foca em empresas sólidas e bem estabelecidas no mercado brasileiro, oferecendo potencial de crescimento e rentabilidade no longo prazo. </w:t>
        <w:br/>
        <w:t>Ideal para investidores que acreditam no crescimento de empresas brasileiras, mas procuram um investimento de perfil relativamente mais defensivo, com ações menos sensíveis aos movimentos de ciclos econômicos — posicionamento em linha com a nossa visão atual para alocação em bolsa brasileira.</w:t>
        <w:br/>
      </w:r>
    </w:p>
    <w:p>
      <w:r>
        <w:t>Trend Bolsa Chinesa FIM</w:t>
      </w:r>
    </w:p>
    <w:p>
      <w:r>
        <w:t xml:space="preserve">Esse fundo busca oportunidades na potencial valorização das empresas chinesas, diante do crescimento econômico esperado para o país a médio/longo prazo. </w:t>
        <w:br/>
        <w:t xml:space="preserve">Ideal para investidores que buscam diversificação geográfica e exposição a ativos de maior risco/volatilidade. Em um momento que destacamos a cautela na exposição às bolsas americanas, o Trend Bolsa Chinesa oferece uma alternativa em um mercado que temos visão positiva para alocação – diante também de múltiplos favoráveis. </w:t>
        <w:br/>
      </w:r>
    </w:p>
    <w:p>
      <w:r>
        <w:t>Trend Bolsas Globais FIM</w:t>
      </w:r>
    </w:p>
    <w:p>
      <w:r>
        <w:t xml:space="preserve">Entendemos que o setor de semicondutores possui potencial relevante de crescimento ao longo dos próximos anos, diante do aumento esperado na demanda por serviços e ferramentas ligadas à Inteligência Artificial. O fundo é ideal para investidores com apetite ao risco no médio/longo prazo e que buscam se expor a um setor em expansão.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