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Lesson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Due Care: </w:t>
      </w:r>
      <w:r w:rsidDel="00000000" w:rsidR="00000000" w:rsidRPr="00000000">
        <w:rPr>
          <w:rtl w:val="0"/>
        </w:rPr>
        <w:t xml:space="preserve">(devido cuidado) é um termo legal utilizado para descrever o cuidado que “uma pessoa razoável” tomaria sob determinadas circunstâncias. Não colocar senhas em post-it, por exemplo.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Due Dilligence:</w:t>
      </w:r>
      <w:r w:rsidDel="00000000" w:rsidR="00000000" w:rsidRPr="00000000">
        <w:rPr>
          <w:rtl w:val="0"/>
        </w:rPr>
        <w:t xml:space="preserve"> (diligência devida)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um termo legal que significa que as pessoas responsáveis não foram negligentes no cumprimento de seus deveres.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Benchmarks/Configuration Guides: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CIS Critical Security Controls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CSAT Ransomware Business Impact Analysis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CIS-RAM (Risk Assessment Method)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CIS 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NIST National Checklist Program (NCP)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OWASP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Vendor guides (Cisco, Fortinet, etc)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NIST CSF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MITRE ATT&amp;CK</w:t>
        </w:r>
      </w:hyperlink>
      <w:r w:rsidDel="00000000" w:rsidR="00000000" w:rsidRPr="00000000">
        <w:rPr>
          <w:rtl w:val="0"/>
        </w:rPr>
        <w:t xml:space="preserve"> - Minhas contribuições: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LAPSUS$</w:t>
        </w:r>
      </w:hyperlink>
      <w:r w:rsidDel="00000000" w:rsidR="00000000" w:rsidRPr="00000000">
        <w:rPr>
          <w:rtl w:val="0"/>
        </w:rPr>
        <w:t xml:space="preserve"> (group),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AvosLocker </w:t>
        </w:r>
      </w:hyperlink>
      <w:r w:rsidDel="00000000" w:rsidR="00000000" w:rsidRPr="00000000">
        <w:rPr>
          <w:rtl w:val="0"/>
        </w:rPr>
        <w:t xml:space="preserve">(software),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C0018 </w:t>
        </w:r>
      </w:hyperlink>
      <w:r w:rsidDel="00000000" w:rsidR="00000000" w:rsidRPr="00000000">
        <w:rPr>
          <w:rtl w:val="0"/>
        </w:rPr>
        <w:t xml:space="preserve">(campaign)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International Organization for Standardization (ISO)</w:t>
      </w:r>
      <w:r w:rsidDel="00000000" w:rsidR="00000000" w:rsidRPr="00000000">
        <w:rPr>
          <w:rtl w:val="0"/>
        </w:rPr>
        <w:t xml:space="preserve"> é uma organização internacional responsável por desenvolver padrões para várias áreas, incluindo tecnologia, saúde, meio ambiente, etc.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Cloud Security Alliance (CSA)</w:t>
      </w:r>
      <w:r w:rsidDel="00000000" w:rsidR="00000000" w:rsidRPr="00000000">
        <w:rPr>
          <w:rtl w:val="0"/>
        </w:rPr>
        <w:t xml:space="preserve"> é uma organização que desenvolve padrões e práticas recomendadas para segurança em nuvem, ajudando empresas a entender e gerenciar riscos de segurança em ambientes de computação em nuvem.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SSAE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 um conjunto de padrões desenvolvidos pelo American Institute of Certified Public Accountants (AICPA) para avaliar a eficácia de controles internos de uma empresa.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 (Service Organization Control)</w:t>
      </w:r>
      <w:r w:rsidDel="00000000" w:rsidR="00000000" w:rsidRPr="00000000">
        <w:rPr>
          <w:rtl w:val="0"/>
        </w:rPr>
        <w:t xml:space="preserve"> é um conjunto de relatórios que descrevem as medidas de segurança e privacidade adotadas por uma organização que presta serviços para outras empresas.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SOC2 Type I </w:t>
      </w:r>
      <w:r w:rsidDel="00000000" w:rsidR="00000000" w:rsidRPr="00000000">
        <w:rPr>
          <w:b w:val="1"/>
          <w:rtl w:val="0"/>
        </w:rPr>
        <w:t xml:space="preserve">e Type</w:t>
      </w:r>
      <w:r w:rsidDel="00000000" w:rsidR="00000000" w:rsidRPr="00000000">
        <w:rPr>
          <w:b w:val="1"/>
          <w:rtl w:val="0"/>
        </w:rPr>
        <w:t xml:space="preserve"> I</w:t>
      </w:r>
      <w:r w:rsidDel="00000000" w:rsidR="00000000" w:rsidRPr="00000000">
        <w:rPr>
          <w:rtl w:val="0"/>
        </w:rPr>
        <w:t xml:space="preserve">I são relatórios de conformidade que descrevem as medidas de segurança e privacidade adotadas por uma organização que presta serviços para outras empresas.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SOC2 Type I avalia os controles da empresa em um ponto no tempo.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SOC2 Type II avalia a efetividade dos controles ao longo de um período de tempo.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SOC3</w:t>
      </w:r>
      <w:r w:rsidDel="00000000" w:rsidR="00000000" w:rsidRPr="00000000">
        <w:rPr>
          <w:rtl w:val="0"/>
        </w:rPr>
        <w:t xml:space="preserve"> é um resumo do relatório SOC2, que pode ser compartilhado publicamente. Ele fornece uma visão geral das medidas de segurança e privacidade adotadas pela organização, sem fornecer detalhes específicos dos controles implementados.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Sherwood Applied Business Security Architecture (SABSA)</w:t>
      </w:r>
      <w:r w:rsidDel="00000000" w:rsidR="00000000" w:rsidRPr="00000000">
        <w:rPr>
          <w:rtl w:val="0"/>
        </w:rPr>
        <w:t xml:space="preserve"> é uma metodologia para fornecer garantia de informação alinhada às necessidades de negócios e impulsionada pela análise de riscos.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Regulations, Standards and Legislation:</w:t>
      </w:r>
      <w:r w:rsidDel="00000000" w:rsidR="00000000" w:rsidRPr="00000000">
        <w:rPr>
          <w:rtl w:val="0"/>
        </w:rPr>
        <w:t xml:space="preserve"> regulamentações, normas e legislações são regras e diretrizes que governam diferentes áreas da sociedade, como tecnologia, saúde, finanças, etc.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 Sarbanes-Oxley Act (SOX) </w:t>
      </w:r>
      <w:r w:rsidDel="00000000" w:rsidR="00000000" w:rsidRPr="00000000">
        <w:rPr>
          <w:rtl w:val="0"/>
        </w:rPr>
        <w:t xml:space="preserve">é uma lei dos Estados Unidos que define requisitos de relatórios financeiros para empresas que negociam suas ações em bolsas de valores dos EUA.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 Computer Security Act (1987)</w:t>
      </w:r>
      <w:r w:rsidDel="00000000" w:rsidR="00000000" w:rsidRPr="00000000">
        <w:rPr>
          <w:rtl w:val="0"/>
        </w:rPr>
        <w:t xml:space="preserve"> é uma lei dos EUA que estabelece requisitos de segurança para as informações processadas por agências federais.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 Federal Information Security Management Act (FISMA)</w:t>
      </w:r>
      <w:r w:rsidDel="00000000" w:rsidR="00000000" w:rsidRPr="00000000">
        <w:rPr>
          <w:rtl w:val="0"/>
        </w:rPr>
        <w:t xml:space="preserve"> é uma lei dos EUA que estabelece requisitos de segurança para agências federais e fornecedores de serviços que trabalham com o governo dos EUA.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National, territory/state laws: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 leis nacionais ou estaduais incluem o </w:t>
      </w:r>
      <w:r w:rsidDel="00000000" w:rsidR="00000000" w:rsidRPr="00000000">
        <w:rPr>
          <w:b w:val="1"/>
          <w:rtl w:val="0"/>
        </w:rPr>
        <w:t xml:space="preserve">Gramm-Leach-Bliley Act (GLBA)</w:t>
      </w:r>
      <w:r w:rsidDel="00000000" w:rsidR="00000000" w:rsidRPr="00000000">
        <w:rPr>
          <w:rtl w:val="0"/>
        </w:rPr>
        <w:t xml:space="preserve">, que regula a privacidade e segurança financeira nos EUA.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California Consumer Privacy Act (CCPA)</w:t>
      </w:r>
      <w:r w:rsidDel="00000000" w:rsidR="00000000" w:rsidRPr="00000000">
        <w:rPr>
          <w:rtl w:val="0"/>
        </w:rPr>
        <w:t xml:space="preserve">, que regula a privacidade de informações pessoais de residentes da Califórnia.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General Data Protection Regulation (GDPR) </w:t>
      </w:r>
      <w:r w:rsidDel="00000000" w:rsidR="00000000" w:rsidRPr="00000000">
        <w:rPr>
          <w:rtl w:val="0"/>
        </w:rPr>
        <w:t xml:space="preserve">é uma regulamentação da União Europeia que define regras para a proteção de dados pessoais de indivíduos na UE.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Payment Card Industry Data Security Standard (PCI DSS)</w:t>
      </w:r>
      <w:r w:rsidDel="00000000" w:rsidR="00000000" w:rsidRPr="00000000">
        <w:rPr>
          <w:rtl w:val="0"/>
        </w:rPr>
        <w:t xml:space="preserve"> é um conjunto de requisitos de segurança para empresas que processam, armazenam </w:t>
      </w:r>
      <w:r w:rsidDel="00000000" w:rsidR="00000000" w:rsidRPr="00000000">
        <w:rPr>
          <w:rtl w:val="0"/>
        </w:rPr>
        <w:t xml:space="preserve">ou transmitem</w:t>
      </w:r>
      <w:r w:rsidDel="00000000" w:rsidR="00000000" w:rsidRPr="00000000">
        <w:rPr>
          <w:rtl w:val="0"/>
        </w:rPr>
        <w:t xml:space="preserve"> informações de cartão de crédito.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Health Insurance Portability and Accountability Act (HIPAA)</w:t>
      </w:r>
      <w:r w:rsidDel="00000000" w:rsidR="00000000" w:rsidRPr="00000000">
        <w:rPr>
          <w:rtl w:val="0"/>
        </w:rPr>
        <w:t xml:space="preserve">, que regula a privacidade de informações médicas nos EUA.</w:t>
      </w:r>
    </w:p>
    <w:p w:rsidR="00000000" w:rsidDel="00000000" w:rsidP="00000000" w:rsidRDefault="00000000" w:rsidRPr="00000000" w14:paraId="0000002F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Lesson 2</w:t>
      </w:r>
    </w:p>
    <w:p w:rsidR="00000000" w:rsidDel="00000000" w:rsidP="00000000" w:rsidRDefault="00000000" w:rsidRPr="00000000" w14:paraId="00000031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Vulnerabilidade: </w:t>
      </w:r>
      <w:r w:rsidDel="00000000" w:rsidR="00000000" w:rsidRPr="00000000">
        <w:rPr>
          <w:rtl w:val="0"/>
        </w:rPr>
        <w:t xml:space="preserve">uma fraqueza que pode ser acionada acidentalmente ou explorada intencionalmente para causar uma violação de segurança. (bugs de software, erro humano, falha de hw, processos interrompidos).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Ameaça: </w:t>
      </w:r>
      <w:r w:rsidDel="00000000" w:rsidR="00000000" w:rsidRPr="00000000">
        <w:rPr>
          <w:rtl w:val="0"/>
        </w:rPr>
        <w:t xml:space="preserve">o potencial de uma entidade exercer uma vulnerabilidade (ou seja, violar a segurança) (funcionários furiosos, criminosos, natureza).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Risco: </w:t>
      </w:r>
      <w:r w:rsidDel="00000000" w:rsidR="00000000" w:rsidRPr="00000000">
        <w:rPr>
          <w:rtl w:val="0"/>
        </w:rPr>
        <w:t xml:space="preserve">a probabilidade</w:t>
      </w:r>
      <w:r w:rsidDel="00000000" w:rsidR="00000000" w:rsidRPr="00000000">
        <w:rPr>
          <w:rtl w:val="0"/>
        </w:rPr>
        <w:t xml:space="preserve"> e o impacto de um ator de ameaça explorar uma vulnerabilidade (interrupção de negócios; perda de vidas).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5360"/>
          <w:sz w:val="24"/>
          <w:szCs w:val="24"/>
        </w:rPr>
      </w:pPr>
      <w:r w:rsidDel="00000000" w:rsidR="00000000" w:rsidRPr="00000000">
        <w:rPr>
          <w:color w:val="435360"/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353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color w:val="435360"/>
          <w:sz w:val="24"/>
          <w:szCs w:val="24"/>
          <w:rtl w:val="0"/>
        </w:rPr>
        <w:t xml:space="preserve">Uma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34635"/>
          <w:sz w:val="24"/>
          <w:szCs w:val="24"/>
          <w:rtl w:val="0"/>
        </w:rPr>
        <w:t xml:space="preserve">ameaça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5360"/>
          <w:sz w:val="24"/>
          <w:szCs w:val="24"/>
          <w:rtl w:val="0"/>
        </w:rPr>
        <w:t xml:space="preserve">causa</w:t>
      </w:r>
      <w:r w:rsidDel="00000000" w:rsidR="00000000" w:rsidRPr="00000000">
        <w:rPr>
          <w:color w:val="435360"/>
          <w:sz w:val="24"/>
          <w:szCs w:val="24"/>
          <w:rtl w:val="0"/>
        </w:rPr>
        <w:t xml:space="preserve"> danos a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ativo</w:t>
      </w:r>
      <w:r w:rsidDel="00000000" w:rsidR="00000000" w:rsidRPr="00000000">
        <w:rPr>
          <w:sz w:val="24"/>
          <w:szCs w:val="24"/>
          <w:rtl w:val="0"/>
        </w:rPr>
        <w:t xml:space="preserve">,</w:t>
        <w:br w:type="textWrapping"/>
      </w:r>
      <w:r w:rsidDel="00000000" w:rsidR="00000000" w:rsidRPr="00000000">
        <w:rPr>
          <w:color w:val="435360"/>
          <w:sz w:val="24"/>
          <w:szCs w:val="24"/>
          <w:rtl w:val="0"/>
        </w:rPr>
        <w:t xml:space="preserve">explorando uma </w:t>
      </w:r>
      <w:r w:rsidDel="00000000" w:rsidR="00000000" w:rsidRPr="00000000">
        <w:rPr>
          <w:b w:val="1"/>
          <w:color w:val="efc319"/>
          <w:sz w:val="24"/>
          <w:szCs w:val="24"/>
          <w:rtl w:val="0"/>
        </w:rPr>
        <w:t xml:space="preserve">vulnerabilidade</w:t>
        <w:br w:type="textWrapping"/>
      </w:r>
      <w:r w:rsidDel="00000000" w:rsidR="00000000" w:rsidRPr="00000000">
        <w:rPr>
          <w:color w:val="435360"/>
          <w:sz w:val="24"/>
          <w:szCs w:val="24"/>
          <w:rtl w:val="0"/>
        </w:rPr>
        <w:t xml:space="preserve">através de um</w:t>
      </w:r>
      <w:r w:rsidDel="00000000" w:rsidR="00000000" w:rsidRPr="00000000">
        <w:rPr>
          <w:b w:val="1"/>
          <w:color w:val="43536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vetor</w:t>
      </w:r>
      <w:r w:rsidDel="00000000" w:rsidR="00000000" w:rsidRPr="00000000">
        <w:rPr>
          <w:color w:val="435360"/>
          <w:sz w:val="24"/>
          <w:szCs w:val="24"/>
          <w:rtl w:val="0"/>
        </w:rPr>
        <w:t xml:space="preserve">,</w:t>
        <w:br w:type="textWrapping"/>
        <w:t xml:space="preserve">que não possui contramedidas</w:t>
        <w:br w:type="textWrapping"/>
        <w:t xml:space="preserve">para mitigar os </w:t>
      </w:r>
      <w:r w:rsidDel="00000000" w:rsidR="00000000" w:rsidRPr="00000000">
        <w:rPr>
          <w:b w:val="1"/>
          <w:color w:val="007c9e"/>
          <w:sz w:val="24"/>
          <w:szCs w:val="24"/>
          <w:rtl w:val="0"/>
        </w:rPr>
        <w:t xml:space="preserve">riscos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Hackers: </w:t>
      </w:r>
      <w:r w:rsidDel="00000000" w:rsidR="00000000" w:rsidRPr="00000000">
        <w:rPr>
          <w:rtl w:val="0"/>
        </w:rPr>
        <w:t xml:space="preserve">não utilizamos mais as terminologias black hat, white hat e gray hat, por não serem inclusivas. Os termos corretos são não autorizados, autorizados e semi autorizados, respectivamente.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Questões pendentes em aula: </w:t>
      </w:r>
      <w:r w:rsidDel="00000000" w:rsidR="00000000" w:rsidRPr="00000000">
        <w:rPr>
          <w:rtl w:val="0"/>
        </w:rPr>
        <w:t xml:space="preserve">N/A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wasp.org/" TargetMode="External"/><Relationship Id="rId10" Type="http://schemas.openxmlformats.org/officeDocument/2006/relationships/hyperlink" Target="https://ncp.nist.gov/repository" TargetMode="External"/><Relationship Id="rId13" Type="http://schemas.openxmlformats.org/officeDocument/2006/relationships/hyperlink" Target="https://attack.mitre.org/" TargetMode="External"/><Relationship Id="rId12" Type="http://schemas.openxmlformats.org/officeDocument/2006/relationships/hyperlink" Target="https://www.nist.gov/cyberframe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security.org/cis-benchmarks" TargetMode="External"/><Relationship Id="rId15" Type="http://schemas.openxmlformats.org/officeDocument/2006/relationships/hyperlink" Target="https://attack.mitre.org/software/S1053/" TargetMode="External"/><Relationship Id="rId14" Type="http://schemas.openxmlformats.org/officeDocument/2006/relationships/hyperlink" Target="https://attack.mitre.org/groups/G1004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attack.mitre.org/campaigns/C0018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ecurity.org/controls/cis-controls-self-assessment-tool-cis-csat" TargetMode="External"/><Relationship Id="rId7" Type="http://schemas.openxmlformats.org/officeDocument/2006/relationships/hyperlink" Target="https://www.cisecurity.org/insights/blog/connecting-cyber-risk-to-business-risk" TargetMode="External"/><Relationship Id="rId8" Type="http://schemas.openxmlformats.org/officeDocument/2006/relationships/hyperlink" Target="https://www.cisecurity.org/insights/white-papers/cis-ram-risk-assessment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