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156F23" w14:textId="77777777" w:rsidR="00BD53B6" w:rsidRPr="00833BEC" w:rsidRDefault="00000000" w:rsidP="000459F7">
      <w:pPr>
        <w:spacing w:before="240" w:after="240"/>
        <w:jc w:val="center"/>
        <w:rPr>
          <w:rFonts w:ascii="Times New Roman" w:hAnsi="Times New Roman" w:cs="Times New Roman"/>
          <w:sz w:val="24"/>
          <w:szCs w:val="24"/>
        </w:rPr>
      </w:pPr>
      <w:r>
        <w:rPr>
          <w:rFonts w:ascii="Times New Roman" w:hAnsi="Times New Roman" w:cs="Times New Roman"/>
          <w:b/>
          <w:bCs/>
          <w:sz w:val="32"/>
          <w:szCs w:val="24"/>
        </w:rPr>
        <w:t>Padrões de Mortalidade por Doenças Crônicas Não Transmissíveis nos Municípios Brasileiros (2010–2024): Integração de Dados do DataSUS e IBGE e Identificação de Perfis por Clustering</w:t>
      </w:r>
    </w:p>
    <w:p w14:paraId="4F554D95" w14:textId="77777777" w:rsidR="00BD53B6" w:rsidRPr="00833BEC" w:rsidRDefault="00000000" w:rsidP="000459F7">
      <w:pPr>
        <w:spacing w:after="240"/>
        <w:jc w:val="center"/>
        <w:rPr>
          <w:rFonts w:ascii="Times New Roman" w:hAnsi="Times New Roman" w:cs="Times New Roman"/>
          <w:sz w:val="20"/>
          <w:szCs w:val="20"/>
        </w:rPr>
      </w:pPr>
      <w:r>
        <w:rPr>
          <w:rFonts w:ascii="Times New Roman" w:hAnsi="Times New Roman" w:cs="Times New Roman"/>
          <w:b/>
          <w:sz w:val="24"/>
          <w:szCs w:val="20"/>
        </w:rPr>
        <w:t>Rodrigo de Queiroz Gonçalves Velez, Caio Jordan de Lima Maia</w:t>
      </w:r>
    </w:p>
    <w:p w14:paraId="168E2BFE" w14:textId="77777777" w:rsidR="00BD53B6" w:rsidRPr="00833BEC" w:rsidRDefault="00000000" w:rsidP="000459F7">
      <w:pPr>
        <w:spacing w:after="240"/>
        <w:jc w:val="center"/>
        <w:rPr>
          <w:rFonts w:ascii="Times New Roman" w:hAnsi="Times New Roman" w:cs="Times New Roman"/>
          <w:sz w:val="20"/>
          <w:szCs w:val="20"/>
        </w:rPr>
      </w:pPr>
      <w:r>
        <w:rPr>
          <w:rFonts w:ascii="Times New Roman" w:hAnsi="Times New Roman" w:cs="Times New Roman"/>
          <w:iCs/>
          <w:sz w:val="24"/>
          <w:szCs w:val="20"/>
        </w:rPr>
        <w:t>Mestrado Profissional em Tecnologia da Informação — Instituto Federal da Paraíba (IFPB) Disciplina de Ciência de Dados Docentes: Damires Souza e Alex Cunha — 2026.1</w:t>
      </w:r>
    </w:p>
    <w:p w14:paraId="673A6119" w14:textId="77777777" w:rsidR="00895D4C" w:rsidRDefault="00000000">
      <w:pPr>
        <w:spacing w:before="120" w:after="120"/>
        <w:ind w:left="454" w:right="454"/>
        <w:jc w:val="both"/>
      </w:pPr>
      <w:r>
        <w:rPr>
          <w:rFonts w:ascii="Times New Roman" w:hAnsi="Times New Roman"/>
          <w:b/>
          <w:i/>
          <w:sz w:val="24"/>
        </w:rPr>
        <w:t xml:space="preserve">Abstract. </w:t>
      </w:r>
      <w:r>
        <w:rPr>
          <w:rFonts w:ascii="Times New Roman" w:hAnsi="Times New Roman"/>
          <w:i/>
          <w:sz w:val="24"/>
        </w:rPr>
        <w:t>Non-communicable chronic diseases (NCDs) account for more than half of all deaths in Brazil, yet most studies analyze this mortality at the national or state level, leaving the municipal scale underexplored. This work integrates three public sources — SIM/DataSUS, the IBGE municipality registry and IBGE/DataSUS population projections — through a Medallion architecture (Bronze/Silver/Gold) to build an analytical dataset with the NCD mortality rate per 100,000 inhabitants for Brazil's 5,570 municipalities (2010-2024). Exploratory analysis and clustering (K-Means, validated against Agglomerative, GMM and DBSCAN) identify municipal mortality profiles, revealing a regional gradient — lowest in the North, highest in the South — and segmenting municipalities into groups with distinct cause composition and population size, supporting territorial prioritization of public health policies.</w:t>
      </w:r>
    </w:p>
    <w:p w14:paraId="45ABF444" w14:textId="77777777" w:rsidR="00BD53B6" w:rsidRPr="00833BEC" w:rsidRDefault="00000000" w:rsidP="000459F7">
      <w:pPr>
        <w:spacing w:before="120" w:after="120"/>
        <w:ind w:left="454" w:right="454"/>
        <w:jc w:val="both"/>
        <w:rPr>
          <w:rFonts w:ascii="Times New Roman" w:hAnsi="Times New Roman" w:cs="Times New Roman"/>
          <w:sz w:val="24"/>
          <w:szCs w:val="24"/>
        </w:rPr>
      </w:pPr>
      <w:r>
        <w:rPr>
          <w:rFonts w:ascii="Times New Roman" w:hAnsi="Times New Roman" w:cs="Times New Roman"/>
          <w:b/>
          <w:bCs/>
          <w:i/>
          <w:sz w:val="24"/>
          <w:szCs w:val="24"/>
        </w:rPr>
        <w:t xml:space="preserve">Resumo. </w:t>
      </w:r>
      <w:r>
        <w:rPr>
          <w:rFonts w:ascii="Times New Roman" w:hAnsi="Times New Roman" w:cs="Times New Roman"/>
          <w:i/>
          <w:sz w:val="24"/>
          <w:szCs w:val="24"/>
        </w:rPr>
        <w:t>As Doenças Crônicas Não Transmissíveis (DCNT) respondem por mais da metade dos óbitos registrados no Brasil, mas grande parte dos estudos disponíveis analisa a mortalidade em nível nacional ou estadual, sem abranger os níveis municipais. Este trabalho integra três bases públicas — SIM/DataSUS, cadastro de municípios do IBGE e projeções populacionais do IBGE/DataSUS — em uma arquitetura Medallion (Bronze/Prata/Ouro) para construir um dataset analítico com a taxa de mortalidade por DCNT a cada 100 mil habitantes para os 5.570 municípios brasileiros (2010–2024). Sobre esse dataset foram aplicadas análise exploratória e clustering (K-Means, validado contra Agglomerative, GMM e DBSCAN) para identificar perfis municipais, evidenciando um padrão regional — menores taxas no Norte, maiores no Sul — e permitindo segmentar os municípios em grupos com composição de causas e porte populacional distintos, subsidiando a priorização territorial de políticas públicas de saúde.</w:t>
      </w:r>
    </w:p>
    <w:p w14:paraId="70C6BC07" w14:textId="77777777" w:rsidR="00BD53B6" w:rsidRPr="00833BEC" w:rsidRDefault="00000000" w:rsidP="000459F7">
      <w:pPr>
        <w:pStyle w:val="Heading1"/>
        <w:spacing w:before="240"/>
        <w:rPr>
          <w:rFonts w:ascii="Times New Roman" w:hAnsi="Times New Roman" w:cs="Times New Roman"/>
          <w:color w:val="auto"/>
          <w:sz w:val="24"/>
          <w:szCs w:val="24"/>
        </w:rPr>
      </w:pPr>
      <w:r>
        <w:rPr>
          <w:rFonts w:ascii="Times New Roman" w:hAnsi="Times New Roman" w:cs="Times New Roman"/>
          <w:color w:val="auto"/>
          <w:szCs w:val="24"/>
        </w:rPr>
        <w:t>1. Introdução</w:t>
      </w:r>
    </w:p>
    <w:p w14:paraId="132844E4" w14:textId="77777777" w:rsidR="00BD53B6" w:rsidRPr="00833BEC"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As Doenças Crônicas Não Transmissíveis (DCNT) que são divididas em doenças cardiovasculares, neoplasias, diabetes e doenças respiratórias crônicas, são responsáveis por um percentual considerável de mortes no Brasil. A análise desses dados em nível municipal é importante para apoiar políticas públicas na área da saúde, permitindo identificar desigualdades regionais e proporcionar uma melhor distribuição de recursos para o enfrentamento do problema.</w:t>
      </w:r>
    </w:p>
    <w:p w14:paraId="0AE7AB55" w14:textId="77777777" w:rsidR="00BD53B6" w:rsidRPr="00833BEC"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Com a disponibilização de dados abertos por órgãos como o DataSUS e o IBGE, torna-se possível explorar esses dados sob diferentes perspectivas. Apesar de já existirem indicadores consolidados sobre o tema, há espaço para análises mais aprofundadas via integração de fontes de dados e técnicas de ciência de dados para identificar padrões, agrupamentos e possíveis fatores associados à mortalidade por DCNT — o diferencial deste trabalho está em aplicar tais técnicas para extrair conhecimento novo a partir da combinação de fontes diversas.</w:t>
      </w:r>
    </w:p>
    <w:p w14:paraId="74A4A0CF" w14:textId="77777777" w:rsidR="00BD53B6"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O problema de ciência de dados atacado neste projeto consiste em identificar padrões e perfis de municípios brasileiros em relação à mortalidade por DCNT, a partir da integração de bases de dados públicas heterogêneas. De forma mais específica, o trabalho busca: (i) analisar a distribuição da mortalidade por DCNT em nível municipal, ao longo de 2010–2024; (ii) identificar agrupamentos de municípios com características semelhantes por meio de clustering; e (iii) explorar possíveis relações entre indicadores de mortalidade, composição de causas e porte populacional.</w:t>
      </w:r>
    </w:p>
    <w:p w14:paraId="6ABA2998" w14:textId="77777777" w:rsidR="00BD53B6" w:rsidRPr="00833BEC" w:rsidRDefault="00000000" w:rsidP="000459F7">
      <w:pPr>
        <w:pStyle w:val="Heading1"/>
        <w:spacing w:before="240"/>
        <w:rPr>
          <w:rFonts w:ascii="Times New Roman" w:hAnsi="Times New Roman" w:cs="Times New Roman"/>
          <w:color w:val="auto"/>
          <w:sz w:val="24"/>
          <w:szCs w:val="24"/>
        </w:rPr>
      </w:pPr>
      <w:r>
        <w:rPr>
          <w:rFonts w:ascii="Times New Roman" w:hAnsi="Times New Roman" w:cs="Times New Roman"/>
          <w:color w:val="auto"/>
          <w:szCs w:val="24"/>
        </w:rPr>
        <w:t>2. Trabalhos Relacionados</w:t>
      </w:r>
    </w:p>
    <w:p w14:paraId="02DAAAED" w14:textId="77777777" w:rsidR="00BD53B6" w:rsidRPr="00833BEC"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Três trabalhos da literatura epidemiológica brasileira, todos baseados no Sistema de Informações sobre Mortalidade (SIM/DataSUS) e com granularidade municipal ou regional, foram identificados por meio de busca em bases acadêmicas (Consensus, indexando Semantic Scholar/PubMed/Scopus) e usados como referência direta para o contexto e a metodologia deste projeto.</w:t>
      </w:r>
    </w:p>
    <w:p w14:paraId="19DBFF7F" w14:textId="77777777" w:rsidR="00BD53B6" w:rsidRPr="00833BEC"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Cardoso et al. (2020) estimam a mortalidade prematura por DCNT (os mesmos quatro grupos de causa usados neste projeto) em todos os municípios brasileiros, comparando os triênios 2010–2012 e 2015–2017, com correção de sub-registro e suavização bayesiana empírica local. O estudo identifica queda geral das taxas, mas com aumento no Nordeste e estabilidade no Norte — um contraste regional que este projeto revisita com granularidade anual e cobertura temporal mais longa (2010–2024).</w:t>
      </w:r>
    </w:p>
    <w:p w14:paraId="27E563DD" w14:textId="77777777" w:rsidR="00BD53B6" w:rsidRPr="00833BEC"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Brant et al. (2025), publicado no Lancet Regional Health – Americas, estimam a mortalidade por doenças cardiovasculares em 5.564 municípios brasileiros (2000–2018) a partir do Global Burden of Disease, estratificando por porte populacional (&lt;30 mil, 30–300 mil, &gt;300 mil habitantes) e aplicando análise espacial (Moran Local). Essa estratificação é conceitualmente próxima da feature log_pop_media deste projeto, e o achado central — menor redução de mortalidade em municípios pequenos e menos desenvolvidos — converge com o perfil do Cluster 0 (Seção 3.4.2).</w:t>
      </w:r>
    </w:p>
    <w:p w14:paraId="2634CCA9" w14:textId="77777777" w:rsidR="00BD53B6" w:rsidRPr="00833BEC"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Malta et al. (2014) descrevem a mortalidade por DCNT no Brasil e em suas cinco grandes regiões entre 2000 e 2011, com correções para sub-registro, projetando o cumprimento das metas do Plano de Enfrentamento das DCNT 2011–2022. O estudo identifica declínio médio de 2,5% ao ano na mortalidade pelas quatro principais DCNT, com taxas historicamente mais altas nas regiões Sudeste e Sul.</w:t>
      </w:r>
    </w:p>
    <w:p w14:paraId="529C2BC9" w14:textId="77777777" w:rsidR="00BD53B6" w:rsidRPr="00833BEC"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Em comum, os três trabalhos usam estatística descritiva, suavização bayesiana ou análise espacial de autocorrelação (Moran) para caracterizar a mortalidade por DCNT — nenhum deles aplica clustering orientado a dados (K-Means ou alternativos) sobre um vetor com os dados de taxa, tendência, porte e composição de causas para segmentar perfis municipais, que é a principal contribuição metodológica deste projeto.</w:t>
      </w:r>
    </w:p>
    <w:p w14:paraId="4C48A74B" w14:textId="77777777" w:rsidR="00895D4C" w:rsidRDefault="00000000">
      <w:pPr>
        <w:spacing w:before="120" w:after="120"/>
        <w:jc w:val="center"/>
      </w:pPr>
      <w:r>
        <w:rPr>
          <w:rFonts w:ascii="Arial" w:hAnsi="Arial" w:cs="Arial"/>
          <w:b/>
          <w:sz w:val="20"/>
        </w:rPr>
        <w:t>Tabela 1. Comparação com trabalhos relacionados.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1953"/>
        <w:gridCol w:w="1682"/>
        <w:gridCol w:w="1739"/>
        <w:gridCol w:w="1700"/>
      </w:tblGrid>
      <w:tr w:rsidR="00BD53B6" w:rsidRPr="00833BEC" w14:paraId="5A4B3C8C" w14:textId="77777777">
        <w:tc>
          <w:tcPr>
            <w:tcW w:w="143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A46C9F5"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b/>
                <w:bCs/>
                <w:sz w:val="20"/>
                <w:szCs w:val="20"/>
              </w:rPr>
              <w:lastRenderedPageBreak/>
              <w:t>Dimensão</w:t>
            </w:r>
          </w:p>
        </w:tc>
        <w:tc>
          <w:tcPr>
            <w:tcW w:w="201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8BE6A16"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b/>
                <w:bCs/>
                <w:sz w:val="20"/>
                <w:szCs w:val="20"/>
              </w:rPr>
              <w:t>Este trabalho</w:t>
            </w:r>
          </w:p>
        </w:tc>
        <w:tc>
          <w:tcPr>
            <w:tcW w:w="172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BF89CAB"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b/>
                <w:bCs/>
                <w:sz w:val="20"/>
                <w:szCs w:val="20"/>
              </w:rPr>
              <w:t>Cardoso et al. (2020)</w:t>
            </w:r>
          </w:p>
        </w:tc>
        <w:tc>
          <w:tcPr>
            <w:tcW w:w="176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B9F1B51"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b/>
                <w:bCs/>
                <w:sz w:val="20"/>
                <w:szCs w:val="20"/>
              </w:rPr>
              <w:t>Brant et al. (2025)</w:t>
            </w:r>
          </w:p>
        </w:tc>
        <w:tc>
          <w:tcPr>
            <w:tcW w:w="156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1E7F268"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b/>
                <w:bCs/>
                <w:sz w:val="20"/>
                <w:szCs w:val="20"/>
              </w:rPr>
              <w:t>Malta et al. (2014)</w:t>
            </w:r>
          </w:p>
        </w:tc>
      </w:tr>
      <w:tr w:rsidR="00BD53B6" w:rsidRPr="00833BEC" w14:paraId="6E27BCD7" w14:textId="77777777">
        <w:tc>
          <w:tcPr>
            <w:tcW w:w="143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35EAC9D"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Escopo geográfico</w:t>
            </w:r>
          </w:p>
        </w:tc>
        <w:tc>
          <w:tcPr>
            <w:tcW w:w="201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210D023"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5.570 municípios</w:t>
            </w:r>
          </w:p>
        </w:tc>
        <w:tc>
          <w:tcPr>
            <w:tcW w:w="172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A0DA508"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Municípios (Brasil)</w:t>
            </w:r>
          </w:p>
        </w:tc>
        <w:tc>
          <w:tcPr>
            <w:tcW w:w="176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8810757"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5.564 municípios</w:t>
            </w:r>
          </w:p>
        </w:tc>
        <w:tc>
          <w:tcPr>
            <w:tcW w:w="156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9034981"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5 regiões + Brasil</w:t>
            </w:r>
          </w:p>
        </w:tc>
      </w:tr>
      <w:tr w:rsidR="00BD53B6" w:rsidRPr="00833BEC" w14:paraId="241D67AB" w14:textId="77777777">
        <w:tc>
          <w:tcPr>
            <w:tcW w:w="143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584824A"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Período</w:t>
            </w:r>
          </w:p>
        </w:tc>
        <w:tc>
          <w:tcPr>
            <w:tcW w:w="201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786FFDD"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2010–2024 (anual)</w:t>
            </w:r>
          </w:p>
        </w:tc>
        <w:tc>
          <w:tcPr>
            <w:tcW w:w="172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11296DB"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2010–2012 / 2015–2017</w:t>
            </w:r>
          </w:p>
        </w:tc>
        <w:tc>
          <w:tcPr>
            <w:tcW w:w="176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13213AB"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2000–2018 (triênios)</w:t>
            </w:r>
          </w:p>
        </w:tc>
        <w:tc>
          <w:tcPr>
            <w:tcW w:w="156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929653B"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2000–2011</w:t>
            </w:r>
          </w:p>
        </w:tc>
      </w:tr>
      <w:tr w:rsidR="00BD53B6" w:rsidRPr="00833BEC" w14:paraId="06BE8C35" w14:textId="77777777">
        <w:tc>
          <w:tcPr>
            <w:tcW w:w="143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71EDFCB"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Granularidade</w:t>
            </w:r>
          </w:p>
        </w:tc>
        <w:tc>
          <w:tcPr>
            <w:tcW w:w="201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67C2BF7"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Municipal</w:t>
            </w:r>
          </w:p>
        </w:tc>
        <w:tc>
          <w:tcPr>
            <w:tcW w:w="172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4AF6591"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Municipal</w:t>
            </w:r>
          </w:p>
        </w:tc>
        <w:tc>
          <w:tcPr>
            <w:tcW w:w="176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7D8466A"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Municipal</w:t>
            </w:r>
          </w:p>
        </w:tc>
        <w:tc>
          <w:tcPr>
            <w:tcW w:w="156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F122913"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Regional/Nacional</w:t>
            </w:r>
          </w:p>
        </w:tc>
      </w:tr>
      <w:tr w:rsidR="00BD53B6" w:rsidRPr="00833BEC" w14:paraId="62F4A203" w14:textId="77777777">
        <w:tc>
          <w:tcPr>
            <w:tcW w:w="143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715799C"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Método principal</w:t>
            </w:r>
          </w:p>
        </w:tc>
        <w:tc>
          <w:tcPr>
            <w:tcW w:w="201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DE743E4"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Clustering (K-Means) + EDA</w:t>
            </w:r>
          </w:p>
        </w:tc>
        <w:tc>
          <w:tcPr>
            <w:tcW w:w="172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C246315"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Suavização bayesiana empírica</w:t>
            </w:r>
          </w:p>
        </w:tc>
        <w:tc>
          <w:tcPr>
            <w:tcW w:w="176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AFA13FD"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GBD + autocorrelação espacial (Moran)</w:t>
            </w:r>
          </w:p>
        </w:tc>
        <w:tc>
          <w:tcPr>
            <w:tcW w:w="156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6DDB84F"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Estatística descritiva + projeção</w:t>
            </w:r>
          </w:p>
        </w:tc>
      </w:tr>
      <w:tr w:rsidR="00BD53B6" w:rsidRPr="00833BEC" w14:paraId="63E5B23C" w14:textId="77777777">
        <w:tc>
          <w:tcPr>
            <w:tcW w:w="143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DF83BD5"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Fonte de dados</w:t>
            </w:r>
          </w:p>
        </w:tc>
        <w:tc>
          <w:tcPr>
            <w:tcW w:w="201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71C460E"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SIM + IBGE (integrados)</w:t>
            </w:r>
          </w:p>
        </w:tc>
        <w:tc>
          <w:tcPr>
            <w:tcW w:w="172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2B83B3D"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SIM</w:t>
            </w:r>
          </w:p>
        </w:tc>
        <w:tc>
          <w:tcPr>
            <w:tcW w:w="176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0C556D2"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GBD (estimativas)</w:t>
            </w:r>
          </w:p>
        </w:tc>
        <w:tc>
          <w:tcPr>
            <w:tcW w:w="156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DA090F5"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SIM + IBGE</w:t>
            </w:r>
          </w:p>
        </w:tc>
      </w:tr>
    </w:tbl>
    <w:p w14:paraId="7DF3A094" w14:textId="77777777" w:rsidR="00BD53B6" w:rsidRPr="00833BEC" w:rsidRDefault="00000000" w:rsidP="000459F7">
      <w:pPr>
        <w:pStyle w:val="Heading1"/>
        <w:spacing w:before="240"/>
        <w:rPr>
          <w:rFonts w:ascii="Times New Roman" w:hAnsi="Times New Roman" w:cs="Times New Roman"/>
          <w:color w:val="auto"/>
          <w:sz w:val="24"/>
          <w:szCs w:val="24"/>
        </w:rPr>
      </w:pPr>
      <w:r>
        <w:rPr>
          <w:rFonts w:ascii="Times New Roman" w:hAnsi="Times New Roman" w:cs="Times New Roman"/>
          <w:color w:val="auto"/>
          <w:szCs w:val="24"/>
        </w:rPr>
        <w:t>3. Metodologia</w:t>
      </w:r>
    </w:p>
    <w:p w14:paraId="0664467B" w14:textId="77777777" w:rsidR="00BD53B6" w:rsidRPr="00833BEC" w:rsidRDefault="00000000" w:rsidP="000459F7">
      <w:pPr>
        <w:pStyle w:val="Heading2"/>
        <w:spacing w:before="240"/>
        <w:rPr>
          <w:rFonts w:ascii="Times New Roman" w:hAnsi="Times New Roman" w:cs="Times New Roman"/>
          <w:color w:val="auto"/>
          <w:sz w:val="24"/>
          <w:szCs w:val="24"/>
        </w:rPr>
      </w:pPr>
      <w:r>
        <w:rPr>
          <w:rFonts w:ascii="Times New Roman" w:hAnsi="Times New Roman" w:cs="Times New Roman"/>
          <w:color w:val="auto"/>
          <w:sz w:val="24"/>
          <w:szCs w:val="24"/>
        </w:rPr>
        <w:t>3.1 Fontes de Dados</w:t>
      </w:r>
    </w:p>
    <w:p w14:paraId="4FF081C6" w14:textId="77777777" w:rsidR="00BD53B6" w:rsidRPr="00833BEC"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O projeto utiliza exclusivamente dados secundários, já agregados e anonimizados pelos órgãos responsáveis, o que dispensa uso de dados sensíveis e mantém o trabalho em conformidade com a LGPD.</w:t>
      </w:r>
    </w:p>
    <w:p w14:paraId="58AF5F65" w14:textId="77777777" w:rsidR="00895D4C" w:rsidRDefault="00000000">
      <w:pPr>
        <w:spacing w:before="120" w:after="120"/>
        <w:jc w:val="center"/>
      </w:pPr>
      <w:r>
        <w:rPr>
          <w:rFonts w:ascii="Arial" w:hAnsi="Arial" w:cs="Arial"/>
          <w:b/>
          <w:sz w:val="20"/>
        </w:rPr>
        <w:t>Tabela 2. Fontes de dados públicas utilizadas no projeto.</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7"/>
        <w:gridCol w:w="3816"/>
        <w:gridCol w:w="1454"/>
        <w:gridCol w:w="1417"/>
      </w:tblGrid>
      <w:tr w:rsidR="00BD53B6" w:rsidRPr="00833BEC" w14:paraId="312F4E98" w14:textId="77777777">
        <w:tc>
          <w:tcPr>
            <w:tcW w:w="1817"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AEB970E"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b/>
                <w:bCs/>
                <w:sz w:val="20"/>
                <w:szCs w:val="20"/>
              </w:rPr>
              <w:t>Fonte</w:t>
            </w:r>
          </w:p>
        </w:tc>
        <w:tc>
          <w:tcPr>
            <w:tcW w:w="381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B0EED79"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b/>
                <w:bCs/>
                <w:sz w:val="20"/>
                <w:szCs w:val="20"/>
              </w:rPr>
              <w:t>Descrição</w:t>
            </w:r>
          </w:p>
        </w:tc>
        <w:tc>
          <w:tcPr>
            <w:tcW w:w="145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6B8F853"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b/>
                <w:bCs/>
                <w:sz w:val="20"/>
                <w:szCs w:val="20"/>
              </w:rPr>
              <w:t>Acesso</w:t>
            </w:r>
          </w:p>
        </w:tc>
        <w:tc>
          <w:tcPr>
            <w:tcW w:w="1417"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11B58ED"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b/>
                <w:bCs/>
                <w:sz w:val="20"/>
                <w:szCs w:val="20"/>
              </w:rPr>
              <w:t>Formato bruto</w:t>
            </w:r>
          </w:p>
        </w:tc>
      </w:tr>
      <w:tr w:rsidR="00BD53B6" w:rsidRPr="00833BEC" w14:paraId="398E711F" w14:textId="77777777">
        <w:tc>
          <w:tcPr>
            <w:tcW w:w="1817"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EE6F688"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DataSUS / SIM</w:t>
            </w:r>
          </w:p>
        </w:tc>
        <w:tc>
          <w:tcPr>
            <w:tcW w:w="381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D8CAD06"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Declarações de óbito por CID-10, por município, UF e ano (2010–2024)</w:t>
            </w:r>
          </w:p>
        </w:tc>
        <w:tc>
          <w:tcPr>
            <w:tcW w:w="145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8D6B57F"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FTP</w:t>
            </w:r>
          </w:p>
        </w:tc>
        <w:tc>
          <w:tcPr>
            <w:tcW w:w="1417"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FFD756A"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DBC</w:t>
            </w:r>
          </w:p>
        </w:tc>
      </w:tr>
      <w:tr w:rsidR="00BD53B6" w:rsidRPr="00833BEC" w14:paraId="529CB4C0" w14:textId="77777777">
        <w:tc>
          <w:tcPr>
            <w:tcW w:w="1817"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89697A4"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DataSUS / CID-10</w:t>
            </w:r>
          </w:p>
        </w:tc>
        <w:tc>
          <w:tcPr>
            <w:tcW w:w="381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4443F34"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Tabelas de referência: capítulos, grupos, categorias e subcategorias</w:t>
            </w:r>
          </w:p>
        </w:tc>
        <w:tc>
          <w:tcPr>
            <w:tcW w:w="145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9397273"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HTTP + FTP</w:t>
            </w:r>
          </w:p>
        </w:tc>
        <w:tc>
          <w:tcPr>
            <w:tcW w:w="1417"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BE88755"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ZIP/CSV/DBF</w:t>
            </w:r>
          </w:p>
        </w:tc>
      </w:tr>
      <w:tr w:rsidR="00BD53B6" w:rsidRPr="00833BEC" w14:paraId="5E481457" w14:textId="77777777">
        <w:tc>
          <w:tcPr>
            <w:tcW w:w="1817"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0CF00BD"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IBGE / POPSVS</w:t>
            </w:r>
          </w:p>
        </w:tc>
        <w:tc>
          <w:tcPr>
            <w:tcW w:w="381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05C4E72"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Projeções populacionais por município, sexo e ano</w:t>
            </w:r>
          </w:p>
        </w:tc>
        <w:tc>
          <w:tcPr>
            <w:tcW w:w="145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03A2196"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FTP (DataSUS)</w:t>
            </w:r>
          </w:p>
        </w:tc>
        <w:tc>
          <w:tcPr>
            <w:tcW w:w="1417"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1275DDA"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ZIP/DBF</w:t>
            </w:r>
          </w:p>
        </w:tc>
      </w:tr>
      <w:tr w:rsidR="00BD53B6" w:rsidRPr="00833BEC" w14:paraId="47C26059" w14:textId="77777777">
        <w:tc>
          <w:tcPr>
            <w:tcW w:w="1817"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E412487"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IBGE API REST</w:t>
            </w:r>
          </w:p>
        </w:tc>
        <w:tc>
          <w:tcPr>
            <w:tcW w:w="381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4230297"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Cadastro de municípios: código IBGE, UF, região</w:t>
            </w:r>
          </w:p>
        </w:tc>
        <w:tc>
          <w:tcPr>
            <w:tcW w:w="145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E2759DB"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API REST</w:t>
            </w:r>
          </w:p>
        </w:tc>
        <w:tc>
          <w:tcPr>
            <w:tcW w:w="1417"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6AF2244"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JSON</w:t>
            </w:r>
          </w:p>
        </w:tc>
      </w:tr>
      <w:tr w:rsidR="00BD53B6" w:rsidRPr="00833BEC" w14:paraId="59447AED" w14:textId="77777777">
        <w:tc>
          <w:tcPr>
            <w:tcW w:w="1817"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6F7016A"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IBGE Shapefile</w:t>
            </w:r>
          </w:p>
        </w:tc>
        <w:tc>
          <w:tcPr>
            <w:tcW w:w="381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CFDF322"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Malha municipal vetorial 2022, para mapas coropléticos</w:t>
            </w:r>
          </w:p>
        </w:tc>
        <w:tc>
          <w:tcPr>
            <w:tcW w:w="145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5653EF6"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HTTP</w:t>
            </w:r>
          </w:p>
        </w:tc>
        <w:tc>
          <w:tcPr>
            <w:tcW w:w="1417"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82D3483" w14:textId="77777777" w:rsidR="00BD53B6" w:rsidRPr="00833BEC" w:rsidRDefault="00000000" w:rsidP="000459F7">
            <w:pPr>
              <w:jc w:val="both"/>
              <w:rPr>
                <w:rFonts w:ascii="Times New Roman" w:hAnsi="Times New Roman" w:cs="Times New Roman"/>
                <w:sz w:val="20"/>
                <w:szCs w:val="20"/>
              </w:rPr>
            </w:pPr>
            <w:r>
              <w:rPr>
                <w:rFonts w:ascii="Times New Roman" w:hAnsi="Times New Roman" w:cs="Times New Roman"/>
                <w:sz w:val="20"/>
                <w:szCs w:val="20"/>
              </w:rPr>
              <w:t>ZIP/SHP</w:t>
            </w:r>
          </w:p>
        </w:tc>
      </w:tr>
    </w:tbl>
    <w:p w14:paraId="332CC12C" w14:textId="77777777" w:rsidR="00BD53B6" w:rsidRPr="00833BEC" w:rsidRDefault="00000000" w:rsidP="000459F7">
      <w:pPr>
        <w:pStyle w:val="Heading2"/>
        <w:spacing w:before="240"/>
        <w:rPr>
          <w:rFonts w:ascii="Times New Roman" w:hAnsi="Times New Roman" w:cs="Times New Roman"/>
          <w:color w:val="auto"/>
          <w:sz w:val="24"/>
          <w:szCs w:val="24"/>
        </w:rPr>
      </w:pPr>
      <w:r>
        <w:rPr>
          <w:rFonts w:ascii="Times New Roman" w:hAnsi="Times New Roman" w:cs="Times New Roman"/>
          <w:color w:val="auto"/>
          <w:sz w:val="24"/>
          <w:szCs w:val="24"/>
        </w:rPr>
        <w:t>3.2 Pipeline de Construção e Enriquecimento do Dataset</w:t>
      </w:r>
    </w:p>
    <w:p w14:paraId="56FB7E1D" w14:textId="77777777" w:rsidR="00BD53B6"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O pipeline segue a arquitetura Medallion, com três camadas sucessivas de refinamento (Figura 1), implementadas integralmente no notebook projeto_cd_2026_01.ipynb:</w:t>
      </w:r>
    </w:p>
    <w:p w14:paraId="0922032B" w14:textId="77777777" w:rsidR="00BD53B6" w:rsidRPr="00833BEC" w:rsidRDefault="00000000" w:rsidP="000459F7">
      <w:pPr>
        <w:spacing w:before="120" w:after="6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7AFC629" wp14:editId="181509FE">
            <wp:extent cx="4039670" cy="2276427"/>
            <wp:effectExtent l="0" t="0" r="0" b="4445"/>
            <wp:docPr id="1" name="figura" descr="Figura do relató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39670" cy="2276427"/>
                    </a:xfrm>
                    <a:prstGeom prst="rect">
                      <a:avLst/>
                    </a:prstGeom>
                  </pic:spPr>
                </pic:pic>
              </a:graphicData>
            </a:graphic>
          </wp:inline>
        </w:drawing>
      </w:r>
    </w:p>
    <w:p w14:paraId="78E039EC" w14:textId="77777777" w:rsidR="00BD53B6" w:rsidRPr="00833BEC" w:rsidRDefault="00000000" w:rsidP="000459F7">
      <w:pPr>
        <w:spacing w:before="120" w:after="120"/>
        <w:jc w:val="center"/>
        <w:rPr>
          <w:rFonts w:ascii="Times New Roman" w:hAnsi="Times New Roman" w:cs="Times New Roman"/>
          <w:i/>
          <w:iCs/>
          <w:sz w:val="24"/>
          <w:szCs w:val="24"/>
        </w:rPr>
      </w:pPr>
      <w:r>
        <w:rPr>
          <w:rFonts w:ascii="Arial" w:hAnsi="Arial" w:cs="Arial"/>
          <w:b/>
          <w:iCs/>
          <w:sz w:val="20"/>
          <w:szCs w:val="24"/>
        </w:rPr>
        <w:t>Figura 1 — Pipeline de construção e enriquecimento do dataset (arquitetura Medallion).</w:t>
      </w:r>
    </w:p>
    <w:p w14:paraId="4D1B0081" w14:textId="77777777" w:rsidR="00833BEC" w:rsidRPr="00833BEC" w:rsidRDefault="00191D0F" w:rsidP="000459F7">
      <w:pPr>
        <w:spacing w:after="220"/>
        <w:jc w:val="both"/>
        <w:rPr>
          <w:rFonts w:ascii="Times New Roman" w:hAnsi="Times New Roman" w:cs="Times New Roman"/>
          <w:sz w:val="24"/>
          <w:szCs w:val="24"/>
        </w:rPr>
      </w:pPr>
      <w:r>
        <w:rPr>
          <w:rFonts w:ascii="Times New Roman" w:hAnsi="Times New Roman" w:cs="Times New Roman"/>
          <w:sz w:val="24"/>
          <w:szCs w:val="24"/>
        </w:rPr>
        <w:t>Para um melhor entendimento, leia a figura da esquerda para a direita. Cada coluna colorida é uma etapa de refinamento: na coluna “Bronze” os dados chegam brutos, como foram baixados das fontes originais; na coluna “Prata” eles já foram limpos e organizados; na coluna “Ouro” as diferentes fontes são combinadas em um único dataset pronto para análise; e na coluna “Semana 4” esse dataset é efetivamente analisado. As setas indicam de onde cada informação vem — por exemplo, o retângulo “taxa_dcnt_100k” recebe dados tanto dos óbitos quanto da população, pois é um cálculo que combina os dois.</w:t>
      </w:r>
    </w:p>
    <w:p w14:paraId="1FEF32C0" w14:textId="77777777" w:rsidR="00BD53B6"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Foram selecionadas fontes públicas e oficiais — SIM, cadastro de municípios do IBGE, projeções populacionais e tabelas CID-10 — por oferecerem cobertura nacional, série histórica longa (2010–2024) e metodologia de coleta já validada pelos órgãos governamentais responsáveis.</w:t>
      </w:r>
    </w:p>
    <w:p w14:paraId="367ABA14" w14:textId="77777777" w:rsidR="00BD53B6"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Camada Bronze: os dados brutos são baixados via FTP/HTTP/API e convertidos para Parquet sem transformação de conteúdo — SIM por UF e ano (2010–2024, 27 UFs, até 405 arquivos DBC via pyreaddbc + dbfread), cadastro de municípios via API REST do IBGE (5.570 municípios), projeções populacionais em DBF por ano, e tabelas CID-10 de duas fontes independentes (HTTP e FTP) para checagem cruzada.</w:t>
      </w:r>
    </w:p>
    <w:p w14:paraId="1D41724D" w14:textId="77777777" w:rsidR="00BD53B6"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Camada Prata: cada fonte recebe tratamento específico. O CID-10 é consolidado em hierarquia única (capítulo → grupo → categoria → código), com remoção de prefixos numéricos das descrições; o cadastro de municípios é normalizado e reduzido a um código IBGE de 6 dígitos, necessário para o join com o SIM; as projeções populacionais são agregadas por município, ano e sexo. O SIM passa por quatro filtros sequenciais (óbitos não-fetais; município de ocorrência preenchido; causa básica preenchida; código de município válido no cadastro IBGE) e é classificado quanto à condição de DCNT por faixas do CID-10 (I00–I99 cardiovasculares; C00–C97 neoplasias malignas; J30–J98 exceto J36 respiratórias crônicas; E10–E14 diabetes mellitus).</w:t>
      </w:r>
    </w:p>
    <w:p w14:paraId="72CAB010" w14:textId="77777777" w:rsidR="00BD53B6"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Camada Ouro: os três datasets Prata são unidos por chave comum. O SIM é ligado ao cadastro de municípios pelo código IBGE de 6 dígitos e, em seguida, à hierarquia CID-10 pelo código da causa básica, resultando em um dataset enriquecido com geografia completa (UF, região) e classificação de causa por ano. Em paralelo, a população é unida ao cadastro de municípios.</w:t>
      </w:r>
    </w:p>
    <w:p w14:paraId="64D14993" w14:textId="77777777" w:rsidR="00BD53B6"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É derivado o atributo taxa_dcnt_100k = (óbitos por DCNT / população) × 100.000 por município e ano, consolidando o dataset analítico final usado nas tarefas de análise exploratória e clustering.</w:t>
      </w:r>
    </w:p>
    <w:p w14:paraId="4C007EAB" w14:textId="77777777" w:rsidR="00BD53B6" w:rsidRPr="00D10EE9" w:rsidRDefault="00000000" w:rsidP="000459F7">
      <w:pPr>
        <w:pStyle w:val="Heading2"/>
        <w:spacing w:before="240"/>
        <w:rPr>
          <w:rFonts w:ascii="Times New Roman" w:hAnsi="Times New Roman" w:cs="Times New Roman"/>
          <w:color w:val="auto"/>
          <w:sz w:val="24"/>
          <w:szCs w:val="24"/>
        </w:rPr>
      </w:pPr>
      <w:r>
        <w:rPr>
          <w:rFonts w:ascii="Times New Roman" w:hAnsi="Times New Roman" w:cs="Times New Roman"/>
          <w:color w:val="auto"/>
          <w:sz w:val="24"/>
          <w:szCs w:val="24"/>
        </w:rPr>
        <w:t>3.3 Caracterização do Dataset Final</w:t>
      </w:r>
    </w:p>
    <w:p w14:paraId="4A084009" w14:textId="77777777" w:rsidR="00BD53B6" w:rsidRPr="00833BEC"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O dataset analítico final é composto por quatro tabelas complementares, cada uma com uma granularidade diferente: sim_ouro_{ano} (uma linha por combinação município × CID-10 × sexo, usada para análises de composição de causas), populacao_municipio (uma linha por município × ano × sexo), taxa_dcnt_municipio (uma linha por município × ano, já com a taxa calculada) e municipios_clusters (uma linha por município, com o resumo histórico usado no clustering). A Seção 3.3.1 apresenta o dicionário de dados de cada tabela e a 3.3.2 mostra uma amostra real de cada uma.</w:t>
      </w:r>
    </w:p>
    <w:p w14:paraId="398D71E9" w14:textId="77777777" w:rsidR="00BD53B6" w:rsidRPr="00D10EE9" w:rsidRDefault="00000000" w:rsidP="000459F7">
      <w:pPr>
        <w:pStyle w:val="Heading3"/>
        <w:spacing w:before="240"/>
        <w:rPr>
          <w:rFonts w:ascii="Times New Roman" w:hAnsi="Times New Roman" w:cs="Times New Roman"/>
          <w:i w:val="0"/>
          <w:iCs w:val="0"/>
          <w:sz w:val="24"/>
          <w:szCs w:val="24"/>
        </w:rPr>
      </w:pPr>
      <w:r>
        <w:rPr>
          <w:rFonts w:ascii="Times New Roman" w:hAnsi="Times New Roman" w:cs="Times New Roman"/>
          <w:i w:val="0"/>
          <w:iCs w:val="0"/>
          <w:sz w:val="24"/>
          <w:szCs w:val="24"/>
        </w:rPr>
        <w:t>3.3.1 Dicionário de Dados</w:t>
      </w:r>
    </w:p>
    <w:p w14:paraId="0257CCEB" w14:textId="77777777" w:rsidR="00BD53B6" w:rsidRPr="00833BEC" w:rsidRDefault="00000000" w:rsidP="000459F7">
      <w:pPr>
        <w:pStyle w:val="Heading4"/>
        <w:numPr>
          <w:ilvl w:val="0"/>
          <w:numId w:val="4"/>
        </w:numPr>
        <w:jc w:val="both"/>
        <w:rPr>
          <w:rFonts w:ascii="Times New Roman" w:hAnsi="Times New Roman" w:cs="Times New Roman"/>
          <w:i w:val="0"/>
          <w:iCs w:val="0"/>
          <w:color w:val="auto"/>
          <w:sz w:val="24"/>
          <w:szCs w:val="24"/>
        </w:rPr>
      </w:pPr>
      <w:r>
        <w:rPr>
          <w:rFonts w:ascii="Times New Roman" w:hAnsi="Times New Roman" w:cs="Times New Roman"/>
          <w:b/>
          <w:bCs/>
          <w:color w:val="auto"/>
          <w:sz w:val="24"/>
          <w:szCs w:val="24"/>
        </w:rPr>
        <w:t>sim_ouro_{ano}:</w:t>
      </w:r>
      <w:r>
        <w:rPr>
          <w:rFonts w:ascii="Times New Roman" w:hAnsi="Times New Roman" w:cs="Times New Roman"/>
          <w:color w:val="auto"/>
          <w:sz w:val="24"/>
          <w:szCs w:val="24"/>
        </w:rPr>
        <w:t xml:space="preserve"> </w:t>
      </w:r>
      <w:r>
        <w:rPr>
          <w:rFonts w:ascii="Times New Roman" w:hAnsi="Times New Roman" w:cs="Times New Roman"/>
          <w:i w:val="0"/>
          <w:iCs w:val="0"/>
          <w:color w:val="auto"/>
          <w:sz w:val="24"/>
          <w:szCs w:val="24"/>
        </w:rPr>
        <w:t>Cada linha desta tabela é uma contagem de óbitos que compartilham as mesmas características (município, causa CID-10, sexo e ano) — ou seja, é "uma linha por grupo de pessoas na mesma situação", não por pessoa.</w:t>
      </w:r>
    </w:p>
    <w:p w14:paraId="7D5CFB9B" w14:textId="77777777" w:rsidR="00895D4C" w:rsidRDefault="00000000">
      <w:pPr>
        <w:spacing w:before="120" w:after="120"/>
        <w:jc w:val="center"/>
      </w:pPr>
      <w:r>
        <w:rPr>
          <w:rFonts w:ascii="Arial" w:hAnsi="Arial" w:cs="Arial"/>
          <w:b/>
          <w:sz w:val="20"/>
        </w:rPr>
        <w:t>Tabela 3. Dicionário de dados do dataset sim_ouro_{ano}.</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3"/>
        <w:gridCol w:w="1581"/>
        <w:gridCol w:w="1733"/>
        <w:gridCol w:w="3227"/>
      </w:tblGrid>
      <w:tr w:rsidR="00BD53B6" w:rsidRPr="00833BEC" w14:paraId="7193BBDE" w14:textId="77777777" w:rsidTr="00B14BCE">
        <w:tc>
          <w:tcPr>
            <w:tcW w:w="1402" w:type="dxa"/>
          </w:tcPr>
          <w:p w14:paraId="732D57E7"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Coluna</w:t>
            </w:r>
          </w:p>
        </w:tc>
        <w:tc>
          <w:tcPr>
            <w:tcW w:w="1721" w:type="dxa"/>
          </w:tcPr>
          <w:p w14:paraId="2D922D95"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Tipo</w:t>
            </w:r>
          </w:p>
        </w:tc>
        <w:tc>
          <w:tcPr>
            <w:tcW w:w="1812" w:type="dxa"/>
          </w:tcPr>
          <w:p w14:paraId="5BEB7FEC"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Origem</w:t>
            </w:r>
          </w:p>
        </w:tc>
        <w:tc>
          <w:tcPr>
            <w:tcW w:w="3569" w:type="dxa"/>
          </w:tcPr>
          <w:p w14:paraId="749775EB"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Descrição</w:t>
            </w:r>
          </w:p>
        </w:tc>
      </w:tr>
      <w:tr w:rsidR="00BD53B6" w:rsidRPr="00833BEC" w14:paraId="411470A0" w14:textId="77777777" w:rsidTr="00B14BCE">
        <w:tc>
          <w:tcPr>
            <w:tcW w:w="1402" w:type="dxa"/>
          </w:tcPr>
          <w:p w14:paraId="4B9B2B75" w14:textId="77777777" w:rsidR="00BD53B6" w:rsidRPr="00102C29" w:rsidRDefault="00000000" w:rsidP="000459F7">
            <w:pPr>
              <w:jc w:val="both"/>
              <w:rPr>
                <w:rFonts w:ascii="Times New Roman" w:hAnsi="Times New Roman" w:cs="Times New Roman"/>
                <w:sz w:val="24"/>
                <w:szCs w:val="24"/>
              </w:rPr>
            </w:pPr>
            <w:r>
              <w:rPr>
                <w:rFonts w:ascii="Times New Roman" w:hAnsi="Times New Roman" w:cs="Times New Roman"/>
                <w:sz w:val="24"/>
                <w:szCs w:val="24"/>
              </w:rPr>
              <w:t>sexo</w:t>
            </w:r>
          </w:p>
        </w:tc>
        <w:tc>
          <w:tcPr>
            <w:tcW w:w="1721" w:type="dxa"/>
          </w:tcPr>
          <w:p w14:paraId="1ADF126E"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string</w:t>
            </w:r>
          </w:p>
        </w:tc>
        <w:tc>
          <w:tcPr>
            <w:tcW w:w="1812" w:type="dxa"/>
          </w:tcPr>
          <w:p w14:paraId="7AD2C127"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SIM</w:t>
            </w:r>
          </w:p>
        </w:tc>
        <w:tc>
          <w:tcPr>
            <w:tcW w:w="3569" w:type="dxa"/>
          </w:tcPr>
          <w:p w14:paraId="0248E20B"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M · F · I (ignorado)</w:t>
            </w:r>
          </w:p>
        </w:tc>
      </w:tr>
      <w:tr w:rsidR="00BD53B6" w:rsidRPr="00833BEC" w14:paraId="0CABF7D5" w14:textId="77777777" w:rsidTr="00B14BCE">
        <w:tc>
          <w:tcPr>
            <w:tcW w:w="1402" w:type="dxa"/>
          </w:tcPr>
          <w:p w14:paraId="48317F8C" w14:textId="77777777" w:rsidR="00BD53B6" w:rsidRPr="00102C29" w:rsidRDefault="00000000" w:rsidP="000459F7">
            <w:pPr>
              <w:jc w:val="both"/>
              <w:rPr>
                <w:rFonts w:ascii="Times New Roman" w:hAnsi="Times New Roman" w:cs="Times New Roman"/>
                <w:sz w:val="24"/>
                <w:szCs w:val="24"/>
              </w:rPr>
            </w:pPr>
            <w:r>
              <w:rPr>
                <w:rFonts w:ascii="Times New Roman" w:hAnsi="Times New Roman" w:cs="Times New Roman"/>
                <w:sz w:val="24"/>
                <w:szCs w:val="24"/>
              </w:rPr>
              <w:t>codigo_municipio</w:t>
            </w:r>
          </w:p>
        </w:tc>
        <w:tc>
          <w:tcPr>
            <w:tcW w:w="1721" w:type="dxa"/>
          </w:tcPr>
          <w:p w14:paraId="2DF6EB09"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string</w:t>
            </w:r>
          </w:p>
        </w:tc>
        <w:tc>
          <w:tcPr>
            <w:tcW w:w="1812" w:type="dxa"/>
          </w:tcPr>
          <w:p w14:paraId="74A3958D"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SIM/IBGE</w:t>
            </w:r>
          </w:p>
        </w:tc>
        <w:tc>
          <w:tcPr>
            <w:tcW w:w="3569" w:type="dxa"/>
          </w:tcPr>
          <w:p w14:paraId="42AD47E5"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Código IBGE de 6 dígitos do município de ocorrência</w:t>
            </w:r>
          </w:p>
        </w:tc>
      </w:tr>
      <w:tr w:rsidR="00BD53B6" w:rsidRPr="00833BEC" w14:paraId="6C42E02A" w14:textId="77777777" w:rsidTr="00B14BCE">
        <w:tc>
          <w:tcPr>
            <w:tcW w:w="1402" w:type="dxa"/>
          </w:tcPr>
          <w:p w14:paraId="3C4F5F7A" w14:textId="77777777" w:rsidR="00BD53B6" w:rsidRPr="00102C29" w:rsidRDefault="00000000" w:rsidP="000459F7">
            <w:pPr>
              <w:jc w:val="both"/>
              <w:rPr>
                <w:rFonts w:ascii="Times New Roman" w:hAnsi="Times New Roman" w:cs="Times New Roman"/>
                <w:sz w:val="24"/>
                <w:szCs w:val="24"/>
              </w:rPr>
            </w:pPr>
            <w:r>
              <w:rPr>
                <w:rFonts w:ascii="Times New Roman" w:hAnsi="Times New Roman" w:cs="Times New Roman"/>
                <w:sz w:val="24"/>
                <w:szCs w:val="24"/>
              </w:rPr>
              <w:t>nome_municipio / sigla_estado / nome_regiao</w:t>
            </w:r>
          </w:p>
        </w:tc>
        <w:tc>
          <w:tcPr>
            <w:tcW w:w="1721" w:type="dxa"/>
          </w:tcPr>
          <w:p w14:paraId="4C0E8E88"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string</w:t>
            </w:r>
          </w:p>
        </w:tc>
        <w:tc>
          <w:tcPr>
            <w:tcW w:w="1812" w:type="dxa"/>
          </w:tcPr>
          <w:p w14:paraId="657ECE9F"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IBGE</w:t>
            </w:r>
          </w:p>
        </w:tc>
        <w:tc>
          <w:tcPr>
            <w:tcW w:w="3569" w:type="dxa"/>
          </w:tcPr>
          <w:p w14:paraId="4CC99416"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Geografia do município (nome, UF, região)</w:t>
            </w:r>
          </w:p>
        </w:tc>
      </w:tr>
      <w:tr w:rsidR="00BD53B6" w:rsidRPr="00833BEC" w14:paraId="46917478" w14:textId="77777777" w:rsidTr="00B14BCE">
        <w:tc>
          <w:tcPr>
            <w:tcW w:w="1402" w:type="dxa"/>
          </w:tcPr>
          <w:p w14:paraId="5C9E92BB" w14:textId="77777777" w:rsidR="00BD53B6" w:rsidRPr="00102C29" w:rsidRDefault="00000000" w:rsidP="000459F7">
            <w:pPr>
              <w:jc w:val="both"/>
              <w:rPr>
                <w:rFonts w:ascii="Times New Roman" w:hAnsi="Times New Roman" w:cs="Times New Roman"/>
                <w:sz w:val="24"/>
                <w:szCs w:val="24"/>
              </w:rPr>
            </w:pPr>
            <w:r>
              <w:rPr>
                <w:rFonts w:ascii="Times New Roman" w:hAnsi="Times New Roman" w:cs="Times New Roman"/>
                <w:sz w:val="24"/>
                <w:szCs w:val="24"/>
              </w:rPr>
              <w:t>codigo_cid10 / descricao_cid10</w:t>
            </w:r>
          </w:p>
        </w:tc>
        <w:tc>
          <w:tcPr>
            <w:tcW w:w="1721" w:type="dxa"/>
          </w:tcPr>
          <w:p w14:paraId="4A700A4B"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string</w:t>
            </w:r>
          </w:p>
        </w:tc>
        <w:tc>
          <w:tcPr>
            <w:tcW w:w="1812" w:type="dxa"/>
          </w:tcPr>
          <w:p w14:paraId="4747AA79"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CID-10</w:t>
            </w:r>
          </w:p>
        </w:tc>
        <w:tc>
          <w:tcPr>
            <w:tcW w:w="3569" w:type="dxa"/>
          </w:tcPr>
          <w:p w14:paraId="2363CBE2"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Causa básica do óbito e sua descrição</w:t>
            </w:r>
          </w:p>
        </w:tc>
      </w:tr>
      <w:tr w:rsidR="00BD53B6" w:rsidRPr="00833BEC" w14:paraId="38FF6E35" w14:textId="77777777" w:rsidTr="00B14BCE">
        <w:tc>
          <w:tcPr>
            <w:tcW w:w="1402" w:type="dxa"/>
          </w:tcPr>
          <w:p w14:paraId="552DF17D" w14:textId="77777777" w:rsidR="00BD53B6" w:rsidRPr="00102C29" w:rsidRDefault="00000000" w:rsidP="000459F7">
            <w:pPr>
              <w:jc w:val="both"/>
              <w:rPr>
                <w:rFonts w:ascii="Times New Roman" w:hAnsi="Times New Roman" w:cs="Times New Roman"/>
                <w:sz w:val="24"/>
                <w:szCs w:val="24"/>
              </w:rPr>
            </w:pPr>
            <w:r>
              <w:rPr>
                <w:rFonts w:ascii="Times New Roman" w:hAnsi="Times New Roman" w:cs="Times New Roman"/>
                <w:sz w:val="24"/>
                <w:szCs w:val="24"/>
              </w:rPr>
              <w:t>exercicio</w:t>
            </w:r>
          </w:p>
        </w:tc>
        <w:tc>
          <w:tcPr>
            <w:tcW w:w="1721" w:type="dxa"/>
          </w:tcPr>
          <w:p w14:paraId="5E9636B4"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string</w:t>
            </w:r>
          </w:p>
        </w:tc>
        <w:tc>
          <w:tcPr>
            <w:tcW w:w="1812" w:type="dxa"/>
          </w:tcPr>
          <w:p w14:paraId="43BD7F9E"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SIM</w:t>
            </w:r>
          </w:p>
        </w:tc>
        <w:tc>
          <w:tcPr>
            <w:tcW w:w="3569" w:type="dxa"/>
          </w:tcPr>
          <w:p w14:paraId="57D59D46"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Ano de ocorrência do óbito</w:t>
            </w:r>
          </w:p>
        </w:tc>
      </w:tr>
      <w:tr w:rsidR="00BD53B6" w:rsidRPr="00833BEC" w14:paraId="3AAD5D8F" w14:textId="77777777" w:rsidTr="00B14BCE">
        <w:tc>
          <w:tcPr>
            <w:tcW w:w="1402" w:type="dxa"/>
          </w:tcPr>
          <w:p w14:paraId="3A33B0AF" w14:textId="77777777" w:rsidR="00BD53B6" w:rsidRPr="00102C29" w:rsidRDefault="00000000" w:rsidP="000459F7">
            <w:pPr>
              <w:jc w:val="both"/>
              <w:rPr>
                <w:rFonts w:ascii="Times New Roman" w:hAnsi="Times New Roman" w:cs="Times New Roman"/>
                <w:sz w:val="24"/>
                <w:szCs w:val="24"/>
              </w:rPr>
            </w:pPr>
            <w:r>
              <w:rPr>
                <w:rFonts w:ascii="Times New Roman" w:hAnsi="Times New Roman" w:cs="Times New Roman"/>
                <w:sz w:val="24"/>
                <w:szCs w:val="24"/>
              </w:rPr>
              <w:t>dcnt</w:t>
            </w:r>
          </w:p>
        </w:tc>
        <w:tc>
          <w:tcPr>
            <w:tcW w:w="1721" w:type="dxa"/>
          </w:tcPr>
          <w:p w14:paraId="6C0E03B6"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string</w:t>
            </w:r>
          </w:p>
        </w:tc>
        <w:tc>
          <w:tcPr>
            <w:tcW w:w="1812" w:type="dxa"/>
          </w:tcPr>
          <w:p w14:paraId="70B14AA9"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Calculado</w:t>
            </w:r>
          </w:p>
        </w:tc>
        <w:tc>
          <w:tcPr>
            <w:tcW w:w="3569" w:type="dxa"/>
          </w:tcPr>
          <w:p w14:paraId="5C8A24A9"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S = causa DCNT · N = demais causas</w:t>
            </w:r>
          </w:p>
        </w:tc>
      </w:tr>
      <w:tr w:rsidR="00BD53B6" w:rsidRPr="00833BEC" w14:paraId="6570342F" w14:textId="77777777" w:rsidTr="00B14BCE">
        <w:tc>
          <w:tcPr>
            <w:tcW w:w="1402" w:type="dxa"/>
          </w:tcPr>
          <w:p w14:paraId="27EAFB96" w14:textId="77777777" w:rsidR="00BD53B6" w:rsidRPr="00102C29" w:rsidRDefault="00000000" w:rsidP="000459F7">
            <w:pPr>
              <w:jc w:val="both"/>
              <w:rPr>
                <w:rFonts w:ascii="Times New Roman" w:hAnsi="Times New Roman" w:cs="Times New Roman"/>
                <w:sz w:val="24"/>
                <w:szCs w:val="24"/>
              </w:rPr>
            </w:pPr>
            <w:r>
              <w:rPr>
                <w:rFonts w:ascii="Times New Roman" w:hAnsi="Times New Roman" w:cs="Times New Roman"/>
                <w:sz w:val="24"/>
                <w:szCs w:val="24"/>
              </w:rPr>
              <w:t>obitos</w:t>
            </w:r>
          </w:p>
        </w:tc>
        <w:tc>
          <w:tcPr>
            <w:tcW w:w="1721" w:type="dxa"/>
          </w:tcPr>
          <w:p w14:paraId="7CC26BA7"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int</w:t>
            </w:r>
          </w:p>
        </w:tc>
        <w:tc>
          <w:tcPr>
            <w:tcW w:w="1812" w:type="dxa"/>
          </w:tcPr>
          <w:p w14:paraId="49A8CE6B"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SIM</w:t>
            </w:r>
          </w:p>
        </w:tc>
        <w:tc>
          <w:tcPr>
            <w:tcW w:w="3569" w:type="dxa"/>
          </w:tcPr>
          <w:p w14:paraId="6C03B629"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Contagem de óbitos agregada por grupo</w:t>
            </w:r>
          </w:p>
        </w:tc>
      </w:tr>
    </w:tbl>
    <w:p w14:paraId="1C8EE17E" w14:textId="77777777" w:rsidR="00BD53B6" w:rsidRPr="00833BEC" w:rsidRDefault="00000000" w:rsidP="000459F7">
      <w:pPr>
        <w:pStyle w:val="Heading4"/>
        <w:numPr>
          <w:ilvl w:val="0"/>
          <w:numId w:val="4"/>
        </w:numPr>
        <w:spacing w:after="120"/>
        <w:jc w:val="both"/>
        <w:rPr>
          <w:rFonts w:ascii="Times New Roman" w:hAnsi="Times New Roman" w:cs="Times New Roman"/>
          <w:i w:val="0"/>
          <w:iCs w:val="0"/>
          <w:color w:val="auto"/>
          <w:sz w:val="24"/>
          <w:szCs w:val="24"/>
        </w:rPr>
      </w:pPr>
      <w:r>
        <w:rPr>
          <w:rFonts w:ascii="Times New Roman" w:hAnsi="Times New Roman" w:cs="Times New Roman"/>
          <w:b/>
          <w:bCs/>
          <w:color w:val="auto"/>
          <w:sz w:val="24"/>
          <w:szCs w:val="24"/>
        </w:rPr>
        <w:t>populacao_municipio (uma linha por município × ano × sexo):</w:t>
      </w:r>
      <w:r>
        <w:rPr>
          <w:rFonts w:ascii="Times New Roman" w:hAnsi="Times New Roman" w:cs="Times New Roman"/>
          <w:color w:val="auto"/>
          <w:sz w:val="24"/>
          <w:szCs w:val="24"/>
        </w:rPr>
        <w:t xml:space="preserve"> </w:t>
      </w:r>
      <w:r>
        <w:rPr>
          <w:rFonts w:ascii="Times New Roman" w:hAnsi="Times New Roman" w:cs="Times New Roman"/>
          <w:i w:val="0"/>
          <w:iCs w:val="0"/>
          <w:color w:val="auto"/>
          <w:sz w:val="24"/>
          <w:szCs w:val="24"/>
        </w:rPr>
        <w:t>População vinda da camada Ouro 2/2, na granularidade mais fina (uma linha por município, ano e sexo) — usada para calcular a coluna populacao de taxa_dcnt_municipio (somando os dois sexos).</w:t>
      </w:r>
    </w:p>
    <w:p w14:paraId="306D6043" w14:textId="77777777" w:rsidR="00895D4C" w:rsidRDefault="00000000">
      <w:pPr>
        <w:spacing w:before="120" w:after="120"/>
        <w:jc w:val="center"/>
      </w:pPr>
      <w:r>
        <w:rPr>
          <w:rFonts w:ascii="Arial" w:hAnsi="Arial" w:cs="Arial"/>
          <w:b/>
          <w:sz w:val="20"/>
        </w:rPr>
        <w:t>Tabela 4. Dicionário de dados do dataset populacao_municipio.</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9"/>
        <w:gridCol w:w="996"/>
        <w:gridCol w:w="1736"/>
        <w:gridCol w:w="3463"/>
      </w:tblGrid>
      <w:tr w:rsidR="00942F20" w:rsidRPr="00833BEC" w14:paraId="052AF9C3" w14:textId="77777777" w:rsidTr="00937E83">
        <w:tc>
          <w:tcPr>
            <w:tcW w:w="1726" w:type="dxa"/>
          </w:tcPr>
          <w:p w14:paraId="6F12BABC"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Coluna</w:t>
            </w:r>
          </w:p>
        </w:tc>
        <w:tc>
          <w:tcPr>
            <w:tcW w:w="1090" w:type="dxa"/>
          </w:tcPr>
          <w:p w14:paraId="3C92BAAE"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Tipo</w:t>
            </w:r>
          </w:p>
        </w:tc>
        <w:tc>
          <w:tcPr>
            <w:tcW w:w="1417" w:type="dxa"/>
          </w:tcPr>
          <w:p w14:paraId="64106CC4"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Origem</w:t>
            </w:r>
          </w:p>
        </w:tc>
        <w:tc>
          <w:tcPr>
            <w:tcW w:w="4270" w:type="dxa"/>
          </w:tcPr>
          <w:p w14:paraId="652986F3"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Descrição</w:t>
            </w:r>
          </w:p>
        </w:tc>
      </w:tr>
      <w:tr w:rsidR="00942F20" w:rsidRPr="00833BEC" w14:paraId="370ECB3C" w14:textId="77777777" w:rsidTr="00937E83">
        <w:tc>
          <w:tcPr>
            <w:tcW w:w="1726" w:type="dxa"/>
          </w:tcPr>
          <w:p w14:paraId="5CBC6D61" w14:textId="77777777" w:rsidR="00942F20" w:rsidRPr="00102C29" w:rsidRDefault="00000000" w:rsidP="000459F7">
            <w:pPr>
              <w:jc w:val="both"/>
              <w:rPr>
                <w:rFonts w:ascii="Times New Roman" w:hAnsi="Times New Roman" w:cs="Times New Roman"/>
                <w:sz w:val="24"/>
                <w:szCs w:val="24"/>
              </w:rPr>
            </w:pPr>
            <w:r>
              <w:rPr>
                <w:rFonts w:ascii="Times New Roman" w:hAnsi="Times New Roman" w:cs="Times New Roman"/>
                <w:sz w:val="24"/>
                <w:szCs w:val="24"/>
              </w:rPr>
              <w:t>exercicio</w:t>
            </w:r>
          </w:p>
        </w:tc>
        <w:tc>
          <w:tcPr>
            <w:tcW w:w="1090" w:type="dxa"/>
          </w:tcPr>
          <w:p w14:paraId="43BCFD47"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int</w:t>
            </w:r>
          </w:p>
        </w:tc>
        <w:tc>
          <w:tcPr>
            <w:tcW w:w="1417" w:type="dxa"/>
          </w:tcPr>
          <w:p w14:paraId="444D5ADE"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IBGE</w:t>
            </w:r>
          </w:p>
        </w:tc>
        <w:tc>
          <w:tcPr>
            <w:tcW w:w="4270" w:type="dxa"/>
          </w:tcPr>
          <w:p w14:paraId="66A3DAD3"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Ano da projeção populacional (2010–2024)</w:t>
            </w:r>
          </w:p>
        </w:tc>
      </w:tr>
      <w:tr w:rsidR="00942F20" w:rsidRPr="00833BEC" w14:paraId="115889C5" w14:textId="77777777" w:rsidTr="00937E83">
        <w:tc>
          <w:tcPr>
            <w:tcW w:w="1726" w:type="dxa"/>
          </w:tcPr>
          <w:p w14:paraId="4D979CEE" w14:textId="77777777" w:rsidR="00942F20" w:rsidRPr="00102C29" w:rsidRDefault="00000000" w:rsidP="000459F7">
            <w:pPr>
              <w:jc w:val="both"/>
              <w:rPr>
                <w:rFonts w:ascii="Times New Roman" w:hAnsi="Times New Roman" w:cs="Times New Roman"/>
                <w:sz w:val="24"/>
                <w:szCs w:val="24"/>
              </w:rPr>
            </w:pPr>
            <w:r>
              <w:rPr>
                <w:rFonts w:ascii="Times New Roman" w:hAnsi="Times New Roman" w:cs="Times New Roman"/>
                <w:sz w:val="24"/>
                <w:szCs w:val="24"/>
              </w:rPr>
              <w:t>codigo_municipio_6c / codigo_municipio</w:t>
            </w:r>
          </w:p>
        </w:tc>
        <w:tc>
          <w:tcPr>
            <w:tcW w:w="1090" w:type="dxa"/>
          </w:tcPr>
          <w:p w14:paraId="4C6C3206"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int</w:t>
            </w:r>
          </w:p>
        </w:tc>
        <w:tc>
          <w:tcPr>
            <w:tcW w:w="1417" w:type="dxa"/>
          </w:tcPr>
          <w:p w14:paraId="6DC7E8AB"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IBGE</w:t>
            </w:r>
          </w:p>
        </w:tc>
        <w:tc>
          <w:tcPr>
            <w:tcW w:w="4270" w:type="dxa"/>
          </w:tcPr>
          <w:p w14:paraId="2935D5D1"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Código IBGE de 6 e de 7 dígitos do município (o de 6 dígitos é a chave de junção)</w:t>
            </w:r>
          </w:p>
        </w:tc>
      </w:tr>
      <w:tr w:rsidR="00942F20" w:rsidRPr="00833BEC" w14:paraId="14F3C234" w14:textId="77777777" w:rsidTr="00937E83">
        <w:tc>
          <w:tcPr>
            <w:tcW w:w="1726" w:type="dxa"/>
          </w:tcPr>
          <w:p w14:paraId="0CAA120D" w14:textId="77777777" w:rsidR="00942F20" w:rsidRPr="00102C29" w:rsidRDefault="00000000" w:rsidP="000459F7">
            <w:pPr>
              <w:jc w:val="both"/>
              <w:rPr>
                <w:rFonts w:ascii="Times New Roman" w:hAnsi="Times New Roman" w:cs="Times New Roman"/>
                <w:sz w:val="24"/>
                <w:szCs w:val="24"/>
              </w:rPr>
            </w:pPr>
            <w:r>
              <w:rPr>
                <w:rFonts w:ascii="Times New Roman" w:hAnsi="Times New Roman" w:cs="Times New Roman"/>
                <w:sz w:val="24"/>
                <w:szCs w:val="24"/>
              </w:rPr>
              <w:t xml:space="preserve">nome_municipio / sigla_estado / nome_estado / </w:t>
            </w:r>
            <w:r>
              <w:rPr>
                <w:rFonts w:ascii="Times New Roman" w:hAnsi="Times New Roman" w:cs="Times New Roman"/>
                <w:sz w:val="24"/>
                <w:szCs w:val="24"/>
              </w:rPr>
              <w:lastRenderedPageBreak/>
              <w:t>sigla_regiao / nome_regiao</w:t>
            </w:r>
          </w:p>
        </w:tc>
        <w:tc>
          <w:tcPr>
            <w:tcW w:w="1090" w:type="dxa"/>
          </w:tcPr>
          <w:p w14:paraId="73833B23"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lastRenderedPageBreak/>
              <w:t>string</w:t>
            </w:r>
          </w:p>
        </w:tc>
        <w:tc>
          <w:tcPr>
            <w:tcW w:w="1417" w:type="dxa"/>
          </w:tcPr>
          <w:p w14:paraId="0C809352"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IBGE</w:t>
            </w:r>
          </w:p>
        </w:tc>
        <w:tc>
          <w:tcPr>
            <w:tcW w:w="4270" w:type="dxa"/>
          </w:tcPr>
          <w:p w14:paraId="3BA06FF4"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Geografia do município (nome, UF, região)</w:t>
            </w:r>
          </w:p>
        </w:tc>
      </w:tr>
      <w:tr w:rsidR="00942F20" w:rsidRPr="00833BEC" w14:paraId="17ED2AFC" w14:textId="77777777" w:rsidTr="00937E83">
        <w:tc>
          <w:tcPr>
            <w:tcW w:w="1726" w:type="dxa"/>
          </w:tcPr>
          <w:p w14:paraId="666E0135" w14:textId="77777777" w:rsidR="00942F20" w:rsidRPr="00102C29" w:rsidRDefault="00000000" w:rsidP="000459F7">
            <w:pPr>
              <w:jc w:val="both"/>
              <w:rPr>
                <w:rFonts w:ascii="Times New Roman" w:hAnsi="Times New Roman" w:cs="Times New Roman"/>
                <w:sz w:val="24"/>
                <w:szCs w:val="24"/>
              </w:rPr>
            </w:pPr>
            <w:r>
              <w:rPr>
                <w:rFonts w:ascii="Times New Roman" w:hAnsi="Times New Roman" w:cs="Times New Roman"/>
                <w:sz w:val="24"/>
                <w:szCs w:val="24"/>
              </w:rPr>
              <w:t>sexo</w:t>
            </w:r>
          </w:p>
        </w:tc>
        <w:tc>
          <w:tcPr>
            <w:tcW w:w="1090" w:type="dxa"/>
          </w:tcPr>
          <w:p w14:paraId="25313090"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string</w:t>
            </w:r>
          </w:p>
        </w:tc>
        <w:tc>
          <w:tcPr>
            <w:tcW w:w="1417" w:type="dxa"/>
          </w:tcPr>
          <w:p w14:paraId="6B20C3C6"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IBGE</w:t>
            </w:r>
          </w:p>
        </w:tc>
        <w:tc>
          <w:tcPr>
            <w:tcW w:w="4270" w:type="dxa"/>
          </w:tcPr>
          <w:p w14:paraId="63037D5C"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M · F · I (ignorado)</w:t>
            </w:r>
          </w:p>
        </w:tc>
      </w:tr>
      <w:tr w:rsidR="00942F20" w:rsidRPr="00833BEC" w14:paraId="66DBE6D2" w14:textId="77777777" w:rsidTr="00937E83">
        <w:tc>
          <w:tcPr>
            <w:tcW w:w="1726" w:type="dxa"/>
          </w:tcPr>
          <w:p w14:paraId="0096C2FE" w14:textId="77777777" w:rsidR="00942F20" w:rsidRPr="00102C29" w:rsidRDefault="00000000" w:rsidP="000459F7">
            <w:pPr>
              <w:jc w:val="both"/>
              <w:rPr>
                <w:rFonts w:ascii="Times New Roman" w:hAnsi="Times New Roman" w:cs="Times New Roman"/>
                <w:sz w:val="24"/>
                <w:szCs w:val="24"/>
              </w:rPr>
            </w:pPr>
            <w:r>
              <w:rPr>
                <w:rFonts w:ascii="Times New Roman" w:hAnsi="Times New Roman" w:cs="Times New Roman"/>
                <w:sz w:val="24"/>
                <w:szCs w:val="24"/>
              </w:rPr>
              <w:t>populacao</w:t>
            </w:r>
          </w:p>
        </w:tc>
        <w:tc>
          <w:tcPr>
            <w:tcW w:w="1090" w:type="dxa"/>
          </w:tcPr>
          <w:p w14:paraId="32C33BA7"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int</w:t>
            </w:r>
          </w:p>
        </w:tc>
        <w:tc>
          <w:tcPr>
            <w:tcW w:w="1417" w:type="dxa"/>
          </w:tcPr>
          <w:p w14:paraId="06D4440C"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IBGE/DataSUS</w:t>
            </w:r>
          </w:p>
        </w:tc>
        <w:tc>
          <w:tcPr>
            <w:tcW w:w="4270" w:type="dxa"/>
          </w:tcPr>
          <w:p w14:paraId="18433F31"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População projetada para aquele município, ano e sexo</w:t>
            </w:r>
          </w:p>
        </w:tc>
      </w:tr>
    </w:tbl>
    <w:p w14:paraId="1D32E856" w14:textId="77777777" w:rsidR="00BD53B6" w:rsidRPr="00833BEC" w:rsidRDefault="00000000" w:rsidP="000459F7">
      <w:pPr>
        <w:pStyle w:val="Heading4"/>
        <w:numPr>
          <w:ilvl w:val="0"/>
          <w:numId w:val="4"/>
        </w:numPr>
        <w:spacing w:after="120"/>
        <w:jc w:val="both"/>
        <w:rPr>
          <w:rFonts w:ascii="Times New Roman" w:hAnsi="Times New Roman" w:cs="Times New Roman"/>
          <w:i w:val="0"/>
          <w:iCs w:val="0"/>
          <w:color w:val="auto"/>
          <w:sz w:val="24"/>
          <w:szCs w:val="24"/>
        </w:rPr>
      </w:pPr>
      <w:r>
        <w:rPr>
          <w:rFonts w:ascii="Times New Roman" w:hAnsi="Times New Roman" w:cs="Times New Roman"/>
          <w:b/>
          <w:bCs/>
          <w:color w:val="auto"/>
          <w:sz w:val="24"/>
          <w:szCs w:val="24"/>
        </w:rPr>
        <w:t>taxa_dcnt_municipio (uma linha por município × ano):</w:t>
      </w:r>
      <w:r>
        <w:rPr>
          <w:rFonts w:ascii="Times New Roman" w:hAnsi="Times New Roman" w:cs="Times New Roman"/>
          <w:color w:val="auto"/>
          <w:sz w:val="24"/>
          <w:szCs w:val="24"/>
        </w:rPr>
        <w:t xml:space="preserve"> </w:t>
      </w:r>
      <w:r>
        <w:rPr>
          <w:rFonts w:ascii="Times New Roman" w:hAnsi="Times New Roman" w:cs="Times New Roman"/>
          <w:i w:val="0"/>
          <w:iCs w:val="0"/>
          <w:color w:val="auto"/>
          <w:sz w:val="24"/>
          <w:szCs w:val="24"/>
        </w:rPr>
        <w:t>Tabela usada em toda a Seção 3.4.1 (EDA), com óbitos DCNT e população já somados entre sexos e a taxa por 100 mil habitantes calculada.</w:t>
      </w:r>
    </w:p>
    <w:p w14:paraId="4507E589" w14:textId="77777777" w:rsidR="00895D4C" w:rsidRDefault="00000000">
      <w:pPr>
        <w:spacing w:before="120" w:after="120"/>
        <w:jc w:val="center"/>
      </w:pPr>
      <w:r>
        <w:rPr>
          <w:rFonts w:ascii="Arial" w:hAnsi="Arial" w:cs="Arial"/>
          <w:b/>
          <w:sz w:val="20"/>
        </w:rPr>
        <w:t>Tabela 5. Dicionário de dados do dataset taxa_dcnt_municipio.</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4"/>
        <w:gridCol w:w="1067"/>
        <w:gridCol w:w="1401"/>
        <w:gridCol w:w="4072"/>
      </w:tblGrid>
      <w:tr w:rsidR="00942F20" w:rsidRPr="00833BEC" w14:paraId="629E0DD5" w14:textId="77777777" w:rsidTr="00937E83">
        <w:tc>
          <w:tcPr>
            <w:tcW w:w="1726" w:type="dxa"/>
          </w:tcPr>
          <w:p w14:paraId="5AFD9EBF"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Coluna</w:t>
            </w:r>
          </w:p>
        </w:tc>
        <w:tc>
          <w:tcPr>
            <w:tcW w:w="1090" w:type="dxa"/>
          </w:tcPr>
          <w:p w14:paraId="4EBFE764"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Tipo</w:t>
            </w:r>
          </w:p>
        </w:tc>
        <w:tc>
          <w:tcPr>
            <w:tcW w:w="1417" w:type="dxa"/>
          </w:tcPr>
          <w:p w14:paraId="331CD7A6"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Origem</w:t>
            </w:r>
          </w:p>
        </w:tc>
        <w:tc>
          <w:tcPr>
            <w:tcW w:w="4270" w:type="dxa"/>
          </w:tcPr>
          <w:p w14:paraId="7489B97E"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Descrição</w:t>
            </w:r>
          </w:p>
        </w:tc>
      </w:tr>
      <w:tr w:rsidR="00942F20" w:rsidRPr="00833BEC" w14:paraId="606AA71A" w14:textId="77777777" w:rsidTr="00937E83">
        <w:tc>
          <w:tcPr>
            <w:tcW w:w="1726" w:type="dxa"/>
          </w:tcPr>
          <w:p w14:paraId="64859658" w14:textId="77777777" w:rsidR="00942F20" w:rsidRPr="00102C29" w:rsidRDefault="00000000" w:rsidP="000459F7">
            <w:pPr>
              <w:jc w:val="both"/>
              <w:rPr>
                <w:rFonts w:ascii="Times New Roman" w:hAnsi="Times New Roman" w:cs="Times New Roman"/>
                <w:sz w:val="24"/>
                <w:szCs w:val="24"/>
              </w:rPr>
            </w:pPr>
            <w:r>
              <w:rPr>
                <w:rFonts w:ascii="Times New Roman" w:hAnsi="Times New Roman" w:cs="Times New Roman"/>
                <w:sz w:val="24"/>
                <w:szCs w:val="24"/>
              </w:rPr>
              <w:t>exercicio</w:t>
            </w:r>
          </w:p>
        </w:tc>
        <w:tc>
          <w:tcPr>
            <w:tcW w:w="1090" w:type="dxa"/>
          </w:tcPr>
          <w:p w14:paraId="73E5925F"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int</w:t>
            </w:r>
          </w:p>
        </w:tc>
        <w:tc>
          <w:tcPr>
            <w:tcW w:w="1417" w:type="dxa"/>
          </w:tcPr>
          <w:p w14:paraId="492D2FA3"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SIM</w:t>
            </w:r>
          </w:p>
        </w:tc>
        <w:tc>
          <w:tcPr>
            <w:tcW w:w="4270" w:type="dxa"/>
          </w:tcPr>
          <w:p w14:paraId="6589540F"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Ano de referência (2010–2024)</w:t>
            </w:r>
          </w:p>
        </w:tc>
      </w:tr>
      <w:tr w:rsidR="00942F20" w:rsidRPr="00833BEC" w14:paraId="2A350721" w14:textId="77777777" w:rsidTr="00937E83">
        <w:tc>
          <w:tcPr>
            <w:tcW w:w="1726" w:type="dxa"/>
          </w:tcPr>
          <w:p w14:paraId="7699809C" w14:textId="77777777" w:rsidR="00942F20" w:rsidRPr="00102C29" w:rsidRDefault="00000000" w:rsidP="000459F7">
            <w:pPr>
              <w:jc w:val="both"/>
              <w:rPr>
                <w:rFonts w:ascii="Times New Roman" w:hAnsi="Times New Roman" w:cs="Times New Roman"/>
                <w:sz w:val="24"/>
                <w:szCs w:val="24"/>
              </w:rPr>
            </w:pPr>
            <w:r>
              <w:rPr>
                <w:rFonts w:ascii="Times New Roman" w:hAnsi="Times New Roman" w:cs="Times New Roman"/>
                <w:sz w:val="24"/>
                <w:szCs w:val="24"/>
              </w:rPr>
              <w:t>codigo_municipio / nome_municipio / sigla_estado / nome_estado / sigla_regiao / nome_regiao</w:t>
            </w:r>
          </w:p>
        </w:tc>
        <w:tc>
          <w:tcPr>
            <w:tcW w:w="1090" w:type="dxa"/>
          </w:tcPr>
          <w:p w14:paraId="79E7DDA6"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int / string</w:t>
            </w:r>
          </w:p>
        </w:tc>
        <w:tc>
          <w:tcPr>
            <w:tcW w:w="1417" w:type="dxa"/>
          </w:tcPr>
          <w:p w14:paraId="4F2F289B"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IBGE</w:t>
            </w:r>
          </w:p>
        </w:tc>
        <w:tc>
          <w:tcPr>
            <w:tcW w:w="4270" w:type="dxa"/>
          </w:tcPr>
          <w:p w14:paraId="5F35B386"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Código IBGE de 6 dígitos e geografia do município (nome, UF, região)</w:t>
            </w:r>
          </w:p>
        </w:tc>
      </w:tr>
      <w:tr w:rsidR="00942F20" w:rsidRPr="00833BEC" w14:paraId="6FF65825" w14:textId="77777777" w:rsidTr="00937E83">
        <w:tc>
          <w:tcPr>
            <w:tcW w:w="1726" w:type="dxa"/>
          </w:tcPr>
          <w:p w14:paraId="4F5F4299" w14:textId="77777777" w:rsidR="00942F20" w:rsidRPr="00102C29" w:rsidRDefault="00000000" w:rsidP="000459F7">
            <w:pPr>
              <w:jc w:val="both"/>
              <w:rPr>
                <w:rFonts w:ascii="Times New Roman" w:hAnsi="Times New Roman" w:cs="Times New Roman"/>
                <w:sz w:val="24"/>
                <w:szCs w:val="24"/>
              </w:rPr>
            </w:pPr>
            <w:r>
              <w:rPr>
                <w:rFonts w:ascii="Times New Roman" w:hAnsi="Times New Roman" w:cs="Times New Roman"/>
                <w:sz w:val="24"/>
                <w:szCs w:val="24"/>
              </w:rPr>
              <w:t>obitos_dcnt</w:t>
            </w:r>
          </w:p>
        </w:tc>
        <w:tc>
          <w:tcPr>
            <w:tcW w:w="1090" w:type="dxa"/>
          </w:tcPr>
          <w:p w14:paraId="148AB79C"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int</w:t>
            </w:r>
          </w:p>
        </w:tc>
        <w:tc>
          <w:tcPr>
            <w:tcW w:w="1417" w:type="dxa"/>
          </w:tcPr>
          <w:p w14:paraId="28B28EDA"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Calculado (SIM)</w:t>
            </w:r>
          </w:p>
        </w:tc>
        <w:tc>
          <w:tcPr>
            <w:tcW w:w="4270" w:type="dxa"/>
          </w:tcPr>
          <w:p w14:paraId="651EF6FE"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Total de óbitos por DCNT no município naquele ano (soma dos dois sexos)</w:t>
            </w:r>
          </w:p>
        </w:tc>
      </w:tr>
      <w:tr w:rsidR="00942F20" w:rsidRPr="00833BEC" w14:paraId="4783F1E8" w14:textId="77777777" w:rsidTr="00937E83">
        <w:tc>
          <w:tcPr>
            <w:tcW w:w="1726" w:type="dxa"/>
          </w:tcPr>
          <w:p w14:paraId="58A07688" w14:textId="77777777" w:rsidR="00942F20" w:rsidRPr="00102C29" w:rsidRDefault="00000000" w:rsidP="000459F7">
            <w:pPr>
              <w:jc w:val="both"/>
              <w:rPr>
                <w:rFonts w:ascii="Times New Roman" w:hAnsi="Times New Roman" w:cs="Times New Roman"/>
                <w:sz w:val="24"/>
                <w:szCs w:val="24"/>
              </w:rPr>
            </w:pPr>
            <w:r>
              <w:rPr>
                <w:rFonts w:ascii="Times New Roman" w:hAnsi="Times New Roman" w:cs="Times New Roman"/>
                <w:sz w:val="24"/>
                <w:szCs w:val="24"/>
              </w:rPr>
              <w:t>populacao</w:t>
            </w:r>
          </w:p>
        </w:tc>
        <w:tc>
          <w:tcPr>
            <w:tcW w:w="1090" w:type="dxa"/>
          </w:tcPr>
          <w:p w14:paraId="1EF0193F"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int</w:t>
            </w:r>
          </w:p>
        </w:tc>
        <w:tc>
          <w:tcPr>
            <w:tcW w:w="1417" w:type="dxa"/>
          </w:tcPr>
          <w:p w14:paraId="7C05578E"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Calculado (IBGE)</w:t>
            </w:r>
          </w:p>
        </w:tc>
        <w:tc>
          <w:tcPr>
            <w:tcW w:w="4270" w:type="dxa"/>
          </w:tcPr>
          <w:p w14:paraId="73FCE256"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População total do município naquele ano (soma dos dois sexos)</w:t>
            </w:r>
          </w:p>
        </w:tc>
      </w:tr>
      <w:tr w:rsidR="00942F20" w:rsidRPr="00833BEC" w14:paraId="2F45E752" w14:textId="77777777" w:rsidTr="00937E83">
        <w:tc>
          <w:tcPr>
            <w:tcW w:w="1726" w:type="dxa"/>
          </w:tcPr>
          <w:p w14:paraId="2BE42414" w14:textId="77777777" w:rsidR="00942F20" w:rsidRPr="00102C29" w:rsidRDefault="00000000" w:rsidP="000459F7">
            <w:pPr>
              <w:jc w:val="both"/>
              <w:rPr>
                <w:rFonts w:ascii="Times New Roman" w:hAnsi="Times New Roman" w:cs="Times New Roman"/>
                <w:sz w:val="24"/>
                <w:szCs w:val="24"/>
              </w:rPr>
            </w:pPr>
            <w:r>
              <w:rPr>
                <w:rFonts w:ascii="Times New Roman" w:hAnsi="Times New Roman" w:cs="Times New Roman"/>
                <w:sz w:val="24"/>
                <w:szCs w:val="24"/>
              </w:rPr>
              <w:t>taxa_dcnt_100k</w:t>
            </w:r>
          </w:p>
        </w:tc>
        <w:tc>
          <w:tcPr>
            <w:tcW w:w="1090" w:type="dxa"/>
          </w:tcPr>
          <w:p w14:paraId="6A48E217"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float</w:t>
            </w:r>
          </w:p>
        </w:tc>
        <w:tc>
          <w:tcPr>
            <w:tcW w:w="1417" w:type="dxa"/>
          </w:tcPr>
          <w:p w14:paraId="0916697F"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Derivado</w:t>
            </w:r>
          </w:p>
        </w:tc>
        <w:tc>
          <w:tcPr>
            <w:tcW w:w="4270" w:type="dxa"/>
          </w:tcPr>
          <w:p w14:paraId="3BD9D825" w14:textId="77777777" w:rsidR="00942F20"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(obitos_dcnt / populacao) × 100.000</w:t>
            </w:r>
          </w:p>
        </w:tc>
      </w:tr>
    </w:tbl>
    <w:p w14:paraId="27C81380" w14:textId="77777777" w:rsidR="00937E83" w:rsidRPr="00833BEC" w:rsidRDefault="00000000" w:rsidP="000459F7">
      <w:pPr>
        <w:pStyle w:val="Heading4"/>
        <w:numPr>
          <w:ilvl w:val="0"/>
          <w:numId w:val="4"/>
        </w:numPr>
        <w:spacing w:after="120"/>
        <w:jc w:val="both"/>
        <w:rPr>
          <w:rFonts w:ascii="Times New Roman" w:hAnsi="Times New Roman" w:cs="Times New Roman"/>
          <w:i w:val="0"/>
          <w:iCs w:val="0"/>
          <w:color w:val="auto"/>
          <w:sz w:val="24"/>
          <w:szCs w:val="24"/>
        </w:rPr>
      </w:pPr>
      <w:r>
        <w:rPr>
          <w:rFonts w:ascii="Times New Roman" w:hAnsi="Times New Roman" w:cs="Times New Roman"/>
          <w:b/>
          <w:bCs/>
          <w:color w:val="auto"/>
          <w:sz w:val="24"/>
          <w:szCs w:val="24"/>
        </w:rPr>
        <w:t>municipios_clusters (uma linha por município)</w:t>
      </w:r>
      <w:r>
        <w:rPr>
          <w:rFonts w:ascii="Times New Roman" w:hAnsi="Times New Roman" w:cs="Times New Roman"/>
          <w:color w:val="auto"/>
          <w:sz w:val="24"/>
          <w:szCs w:val="24"/>
        </w:rPr>
        <w:t xml:space="preserve">: </w:t>
      </w:r>
      <w:r>
        <w:rPr>
          <w:rFonts w:ascii="Times New Roman" w:hAnsi="Times New Roman" w:cs="Times New Roman"/>
          <w:i w:val="0"/>
          <w:iCs w:val="0"/>
          <w:color w:val="auto"/>
          <w:sz w:val="24"/>
          <w:szCs w:val="24"/>
        </w:rPr>
        <w:t>Resumo de cada município ao longo de 2010–2024 — a tabela usada para comparar municípios entre si e agrupá-los por semelhança (clustering).</w:t>
      </w:r>
    </w:p>
    <w:p w14:paraId="41A0DFC1" w14:textId="77777777" w:rsidR="00895D4C" w:rsidRDefault="00000000">
      <w:pPr>
        <w:spacing w:before="120" w:after="120"/>
        <w:jc w:val="center"/>
      </w:pPr>
      <w:r>
        <w:rPr>
          <w:rFonts w:ascii="Arial" w:hAnsi="Arial" w:cs="Arial"/>
          <w:b/>
          <w:sz w:val="20"/>
        </w:rPr>
        <w:t>Tabela 6. Dicionário de dados do dataset municipios_clusters.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8"/>
        <w:gridCol w:w="1169"/>
        <w:gridCol w:w="5447"/>
      </w:tblGrid>
      <w:tr w:rsidR="00BD53B6" w:rsidRPr="00833BEC" w14:paraId="50B4B8F9" w14:textId="77777777" w:rsidTr="00937E83">
        <w:tc>
          <w:tcPr>
            <w:tcW w:w="1888" w:type="dxa"/>
          </w:tcPr>
          <w:p w14:paraId="53B4C92D"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Coluna</w:t>
            </w:r>
          </w:p>
        </w:tc>
        <w:tc>
          <w:tcPr>
            <w:tcW w:w="1169" w:type="dxa"/>
          </w:tcPr>
          <w:p w14:paraId="5996A9EC"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Tipo</w:t>
            </w:r>
          </w:p>
        </w:tc>
        <w:tc>
          <w:tcPr>
            <w:tcW w:w="5448" w:type="dxa"/>
          </w:tcPr>
          <w:p w14:paraId="0401B621"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Descrição</w:t>
            </w:r>
          </w:p>
        </w:tc>
      </w:tr>
      <w:tr w:rsidR="00BD53B6" w:rsidRPr="00833BEC" w14:paraId="70F6FC31" w14:textId="77777777" w:rsidTr="00937E83">
        <w:tc>
          <w:tcPr>
            <w:tcW w:w="1888" w:type="dxa"/>
          </w:tcPr>
          <w:p w14:paraId="40291002" w14:textId="77777777" w:rsidR="00BD53B6" w:rsidRPr="00102C29" w:rsidRDefault="00000000" w:rsidP="000459F7">
            <w:pPr>
              <w:jc w:val="both"/>
              <w:rPr>
                <w:rFonts w:ascii="Times New Roman" w:hAnsi="Times New Roman" w:cs="Times New Roman"/>
                <w:sz w:val="24"/>
                <w:szCs w:val="24"/>
              </w:rPr>
            </w:pPr>
            <w:r>
              <w:rPr>
                <w:rFonts w:ascii="Times New Roman" w:hAnsi="Times New Roman" w:cs="Times New Roman"/>
                <w:sz w:val="24"/>
                <w:szCs w:val="24"/>
              </w:rPr>
              <w:t>taxa_media</w:t>
            </w:r>
          </w:p>
        </w:tc>
        <w:tc>
          <w:tcPr>
            <w:tcW w:w="1169" w:type="dxa"/>
          </w:tcPr>
          <w:p w14:paraId="0257F79E"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float</w:t>
            </w:r>
          </w:p>
        </w:tc>
        <w:tc>
          <w:tcPr>
            <w:tcW w:w="5448" w:type="dxa"/>
          </w:tcPr>
          <w:p w14:paraId="03C3288B"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Taxa DCNT média histórica (óbitos/100k hab.)</w:t>
            </w:r>
          </w:p>
        </w:tc>
      </w:tr>
      <w:tr w:rsidR="00BD53B6" w:rsidRPr="00833BEC" w14:paraId="25200DD8" w14:textId="77777777" w:rsidTr="00937E83">
        <w:tc>
          <w:tcPr>
            <w:tcW w:w="1888" w:type="dxa"/>
          </w:tcPr>
          <w:p w14:paraId="4E35CE45" w14:textId="77777777" w:rsidR="00BD53B6" w:rsidRPr="00102C29" w:rsidRDefault="00000000" w:rsidP="000459F7">
            <w:pPr>
              <w:jc w:val="both"/>
              <w:rPr>
                <w:rFonts w:ascii="Times New Roman" w:hAnsi="Times New Roman" w:cs="Times New Roman"/>
                <w:sz w:val="24"/>
                <w:szCs w:val="24"/>
              </w:rPr>
            </w:pPr>
            <w:r>
              <w:rPr>
                <w:rFonts w:ascii="Times New Roman" w:hAnsi="Times New Roman" w:cs="Times New Roman"/>
                <w:sz w:val="24"/>
                <w:szCs w:val="24"/>
              </w:rPr>
              <w:t>tendencia</w:t>
            </w:r>
          </w:p>
        </w:tc>
        <w:tc>
          <w:tcPr>
            <w:tcW w:w="1169" w:type="dxa"/>
          </w:tcPr>
          <w:p w14:paraId="0137039D"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float</w:t>
            </w:r>
          </w:p>
        </w:tc>
        <w:tc>
          <w:tcPr>
            <w:tcW w:w="5448" w:type="dxa"/>
          </w:tcPr>
          <w:p w14:paraId="369249A5" w14:textId="77777777" w:rsidR="00BD53B6" w:rsidRPr="00833BEC" w:rsidRDefault="00480A3D" w:rsidP="000459F7">
            <w:pPr>
              <w:jc w:val="both"/>
              <w:rPr>
                <w:rFonts w:ascii="Times New Roman" w:hAnsi="Times New Roman" w:cs="Times New Roman"/>
                <w:sz w:val="24"/>
                <w:szCs w:val="24"/>
              </w:rPr>
            </w:pPr>
            <w:r>
              <w:rPr>
                <w:rFonts w:ascii="Times New Roman" w:hAnsi="Times New Roman" w:cs="Times New Roman"/>
                <w:sz w:val="24"/>
                <w:szCs w:val="24"/>
              </w:rPr>
              <w:t>Ritmo de crescimento da mortalidade (regressão linear sobre o tempo)</w:t>
            </w:r>
          </w:p>
        </w:tc>
      </w:tr>
      <w:tr w:rsidR="00BD53B6" w:rsidRPr="00833BEC" w14:paraId="47621D21" w14:textId="77777777" w:rsidTr="00937E83">
        <w:tc>
          <w:tcPr>
            <w:tcW w:w="1888" w:type="dxa"/>
          </w:tcPr>
          <w:p w14:paraId="59BFE0AC" w14:textId="77777777" w:rsidR="00BD53B6" w:rsidRPr="00102C29" w:rsidRDefault="00000000" w:rsidP="000459F7">
            <w:pPr>
              <w:jc w:val="both"/>
              <w:rPr>
                <w:rFonts w:ascii="Times New Roman" w:hAnsi="Times New Roman" w:cs="Times New Roman"/>
                <w:sz w:val="24"/>
                <w:szCs w:val="24"/>
              </w:rPr>
            </w:pPr>
            <w:r>
              <w:rPr>
                <w:rFonts w:ascii="Times New Roman" w:hAnsi="Times New Roman" w:cs="Times New Roman"/>
                <w:sz w:val="24"/>
                <w:szCs w:val="24"/>
              </w:rPr>
              <w:t>log_pop_media</w:t>
            </w:r>
          </w:p>
        </w:tc>
        <w:tc>
          <w:tcPr>
            <w:tcW w:w="1169" w:type="dxa"/>
          </w:tcPr>
          <w:p w14:paraId="311B1215"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float</w:t>
            </w:r>
          </w:p>
        </w:tc>
        <w:tc>
          <w:tcPr>
            <w:tcW w:w="5448" w:type="dxa"/>
          </w:tcPr>
          <w:p w14:paraId="7691832C"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Log₁₀ da população média — comprime a escala de porte municipal</w:t>
            </w:r>
          </w:p>
        </w:tc>
      </w:tr>
      <w:tr w:rsidR="00BD53B6" w:rsidRPr="00833BEC" w14:paraId="290E64F6" w14:textId="77777777" w:rsidTr="00937E83">
        <w:tc>
          <w:tcPr>
            <w:tcW w:w="1888" w:type="dxa"/>
          </w:tcPr>
          <w:p w14:paraId="1A045548" w14:textId="77777777" w:rsidR="00BD53B6" w:rsidRPr="00102C29" w:rsidRDefault="00000000" w:rsidP="000459F7">
            <w:pPr>
              <w:jc w:val="both"/>
              <w:rPr>
                <w:rFonts w:ascii="Times New Roman" w:hAnsi="Times New Roman" w:cs="Times New Roman"/>
                <w:sz w:val="24"/>
                <w:szCs w:val="24"/>
              </w:rPr>
            </w:pPr>
            <w:r>
              <w:rPr>
                <w:rFonts w:ascii="Times New Roman" w:hAnsi="Times New Roman" w:cs="Times New Roman"/>
                <w:sz w:val="24"/>
                <w:szCs w:val="24"/>
              </w:rPr>
              <w:t>prop_neoplasia / prop_respiratoria / prop_diabetes</w:t>
            </w:r>
          </w:p>
        </w:tc>
        <w:tc>
          <w:tcPr>
            <w:tcW w:w="1169" w:type="dxa"/>
          </w:tcPr>
          <w:p w14:paraId="334859EA"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float</w:t>
            </w:r>
          </w:p>
        </w:tc>
        <w:tc>
          <w:tcPr>
            <w:tcW w:w="5448" w:type="dxa"/>
          </w:tcPr>
          <w:p w14:paraId="79AE26AB"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Proporção dos óbitos DCNT por grupo de causa</w:t>
            </w:r>
          </w:p>
        </w:tc>
      </w:tr>
      <w:tr w:rsidR="00BD53B6" w:rsidRPr="00833BEC" w14:paraId="72D69C55" w14:textId="77777777" w:rsidTr="00937E83">
        <w:tc>
          <w:tcPr>
            <w:tcW w:w="1888" w:type="dxa"/>
          </w:tcPr>
          <w:p w14:paraId="2843E7FE" w14:textId="77777777" w:rsidR="00BD53B6" w:rsidRPr="00102C29" w:rsidRDefault="00000000" w:rsidP="000459F7">
            <w:pPr>
              <w:jc w:val="both"/>
              <w:rPr>
                <w:rFonts w:ascii="Times New Roman" w:hAnsi="Times New Roman" w:cs="Times New Roman"/>
                <w:sz w:val="24"/>
                <w:szCs w:val="24"/>
              </w:rPr>
            </w:pPr>
            <w:r>
              <w:rPr>
                <w:rFonts w:ascii="Times New Roman" w:hAnsi="Times New Roman" w:cs="Times New Roman"/>
                <w:sz w:val="24"/>
                <w:szCs w:val="24"/>
              </w:rPr>
              <w:t>cluster</w:t>
            </w:r>
          </w:p>
        </w:tc>
        <w:tc>
          <w:tcPr>
            <w:tcW w:w="1169" w:type="dxa"/>
          </w:tcPr>
          <w:p w14:paraId="5027BEB5"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int</w:t>
            </w:r>
          </w:p>
        </w:tc>
        <w:tc>
          <w:tcPr>
            <w:tcW w:w="5448" w:type="dxa"/>
          </w:tcPr>
          <w:p w14:paraId="1FCC11E1" w14:textId="77777777" w:rsidR="00BD53B6" w:rsidRPr="00833BEC" w:rsidRDefault="00000000" w:rsidP="000459F7">
            <w:pPr>
              <w:jc w:val="both"/>
              <w:rPr>
                <w:rFonts w:ascii="Times New Roman" w:hAnsi="Times New Roman" w:cs="Times New Roman"/>
                <w:sz w:val="24"/>
                <w:szCs w:val="24"/>
              </w:rPr>
            </w:pPr>
            <w:r>
              <w:rPr>
                <w:rFonts w:ascii="Times New Roman" w:hAnsi="Times New Roman" w:cs="Times New Roman"/>
                <w:sz w:val="24"/>
                <w:szCs w:val="24"/>
              </w:rPr>
              <w:t>Rótulo do cluster K-Means</w:t>
            </w:r>
          </w:p>
        </w:tc>
      </w:tr>
    </w:tbl>
    <w:p w14:paraId="2E38608A" w14:textId="77777777" w:rsidR="00BD53B6" w:rsidRPr="00D10EE9" w:rsidRDefault="00000000" w:rsidP="000459F7">
      <w:pPr>
        <w:pStyle w:val="Heading3"/>
        <w:spacing w:before="240"/>
        <w:rPr>
          <w:rFonts w:ascii="Times New Roman" w:hAnsi="Times New Roman" w:cs="Times New Roman"/>
          <w:i w:val="0"/>
          <w:iCs w:val="0"/>
          <w:sz w:val="24"/>
          <w:szCs w:val="24"/>
        </w:rPr>
      </w:pPr>
      <w:r>
        <w:rPr>
          <w:rFonts w:ascii="Times New Roman" w:hAnsi="Times New Roman" w:cs="Times New Roman"/>
          <w:i w:val="0"/>
          <w:iCs w:val="0"/>
          <w:sz w:val="24"/>
          <w:szCs w:val="24"/>
        </w:rPr>
        <w:t>3.3.2 Amostra dos Dados</w:t>
      </w:r>
    </w:p>
    <w:p w14:paraId="43DC6B1E" w14:textId="77777777" w:rsidR="00BD53B6" w:rsidRPr="00833BEC"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A seguir, uma amostra real dos dados: as primeiras linhas de cada arquivo, exatamente como aparecem no arquivo gerado pelo pipeline — sem qualquer seleção, filtro ou ordenação feita por nós para a apresentação.</w:t>
      </w:r>
    </w:p>
    <w:p w14:paraId="7A0647B2" w14:textId="77777777" w:rsidR="00BD53B6" w:rsidRPr="00D10EE9" w:rsidRDefault="00000000" w:rsidP="000459F7">
      <w:pPr>
        <w:pStyle w:val="ListParagraph"/>
        <w:numPr>
          <w:ilvl w:val="0"/>
          <w:numId w:val="4"/>
        </w:numPr>
        <w:spacing w:after="120"/>
        <w:jc w:val="both"/>
        <w:rPr>
          <w:rFonts w:ascii="Times New Roman" w:hAnsi="Times New Roman" w:cs="Times New Roman"/>
          <w:b/>
          <w:bCs/>
          <w:i/>
          <w:iCs/>
          <w:sz w:val="24"/>
          <w:szCs w:val="24"/>
        </w:rPr>
      </w:pPr>
      <w:r>
        <w:rPr>
          <w:rFonts w:ascii="Times New Roman" w:hAnsi="Times New Roman" w:cs="Times New Roman"/>
          <w:b/>
          <w:bCs/>
          <w:i/>
          <w:iCs/>
          <w:sz w:val="24"/>
          <w:szCs w:val="24"/>
        </w:rPr>
        <w:t>sim_ouro_2024 (granularidade fina — grupos de óbitos)</w:t>
      </w:r>
    </w:p>
    <w:p w14:paraId="5DF963C9" w14:textId="77777777" w:rsidR="007208F2" w:rsidRPr="00833BEC" w:rsidRDefault="007208F2" w:rsidP="000459F7">
      <w:pPr>
        <w:spacing w:after="120"/>
        <w:jc w:val="center"/>
        <w:rPr>
          <w:rFonts w:ascii="Times New Roman" w:hAnsi="Times New Roman" w:cs="Times New Roman"/>
          <w:i/>
          <w:iCs/>
          <w:sz w:val="24"/>
          <w:szCs w:val="24"/>
        </w:rPr>
      </w:pPr>
      <w:r>
        <w:rPr>
          <w:rFonts w:ascii="Times New Roman" w:hAnsi="Times New Roman" w:cs="Times New Roman"/>
          <w:i/>
          <w:iCs/>
          <w:noProof/>
          <w:sz w:val="24"/>
          <w:szCs w:val="24"/>
        </w:rPr>
        <w:lastRenderedPageBreak/>
        <w:drawing>
          <wp:inline distT="0" distB="0" distL="0" distR="0" wp14:anchorId="189EF952" wp14:editId="50CF5C80">
            <wp:extent cx="4752000" cy="1670561"/>
            <wp:effectExtent l="0" t="0" r="5080" b="1905"/>
            <wp:docPr id="140452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26808" name=""/>
                    <pic:cNvPicPr/>
                  </pic:nvPicPr>
                  <pic:blipFill>
                    <a:blip r:embed="rId8"/>
                    <a:stretch>
                      <a:fillRect/>
                    </a:stretch>
                  </pic:blipFill>
                  <pic:spPr>
                    <a:xfrm>
                      <a:off x="0" y="0"/>
                      <a:ext cx="4752000" cy="1670561"/>
                    </a:xfrm>
                    <a:prstGeom prst="rect">
                      <a:avLst/>
                    </a:prstGeom>
                  </pic:spPr>
                </pic:pic>
              </a:graphicData>
            </a:graphic>
          </wp:inline>
        </w:drawing>
      </w:r>
    </w:p>
    <w:p w14:paraId="4375F40E" w14:textId="77777777" w:rsidR="00BD53B6" w:rsidRPr="00D10EE9" w:rsidRDefault="00000000" w:rsidP="000459F7">
      <w:pPr>
        <w:pStyle w:val="Heading2"/>
        <w:spacing w:before="240"/>
        <w:rPr>
          <w:rFonts w:ascii="Times New Roman" w:hAnsi="Times New Roman" w:cs="Times New Roman"/>
          <w:color w:val="auto"/>
          <w:sz w:val="24"/>
          <w:szCs w:val="24"/>
        </w:rPr>
      </w:pPr>
      <w:r>
        <w:rPr>
          <w:rFonts w:ascii="Times New Roman" w:hAnsi="Times New Roman" w:cs="Times New Roman"/>
          <w:color w:val="auto"/>
          <w:sz w:val="24"/>
          <w:szCs w:val="24"/>
        </w:rPr>
        <w:t>3.4 Tarefas com Uso do Dataset</w:t>
      </w:r>
    </w:p>
    <w:p w14:paraId="1F20955B" w14:textId="77777777" w:rsidR="00BD53B6" w:rsidRPr="00D10EE9" w:rsidRDefault="00000000" w:rsidP="000459F7">
      <w:pPr>
        <w:pStyle w:val="Heading3"/>
        <w:spacing w:before="240"/>
        <w:rPr>
          <w:rFonts w:ascii="Times New Roman" w:hAnsi="Times New Roman" w:cs="Times New Roman"/>
          <w:i w:val="0"/>
          <w:iCs w:val="0"/>
          <w:sz w:val="24"/>
          <w:szCs w:val="24"/>
        </w:rPr>
      </w:pPr>
      <w:r>
        <w:rPr>
          <w:rFonts w:ascii="Times New Roman" w:hAnsi="Times New Roman" w:cs="Times New Roman"/>
          <w:i w:val="0"/>
          <w:iCs w:val="0"/>
          <w:sz w:val="24"/>
          <w:szCs w:val="24"/>
        </w:rPr>
        <w:t>3.4.1 Análise Exploratória de Dados (EDA – Exploratory data analysis)</w:t>
      </w:r>
    </w:p>
    <w:p w14:paraId="400E767C" w14:textId="77777777" w:rsidR="00567051"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O dataset agregado (município × ano) possui 81.961 linhas. A taxa de mortalidade por DCNT/100k hab. apresenta média de 235,5 (de todos os municípios em todo o recorte temporal). Uma informação importante é saber quanto os dados de um conjunto estão dispersos em torno da média. Isso é o desvio padrão e encontramos o valor de 157,5. Podemos usar esta informação e achar o coeficiente de variação (devio padrão / média) com valor de 0,67, ou seja, o desvio padrão equivale a 67% da própria média, que traz um cenário de alta variabilidade entre os municípios.</w:t>
      </w:r>
    </w:p>
    <w:p w14:paraId="05E45641" w14:textId="77777777" w:rsidR="00BD53B6" w:rsidRPr="00B96EFB" w:rsidRDefault="00000000" w:rsidP="000459F7">
      <w:pPr>
        <w:spacing w:before="120" w:after="80"/>
        <w:jc w:val="both"/>
      </w:pPr>
      <w:r>
        <w:rPr>
          <w:rFonts w:ascii="Times New Roman" w:hAnsi="Times New Roman" w:cs="Times New Roman"/>
          <w:b/>
          <w:bCs/>
          <w:sz w:val="24"/>
          <w:szCs w:val="24"/>
        </w:rPr>
        <w:t>Histograma da Distribuição da Taxa de Mortalidade por DCNT</w:t>
      </w:r>
    </w:p>
    <w:p w14:paraId="23CDC1F9" w14:textId="77777777" w:rsidR="00BD53B6"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Um histograma descreve como uma única variável numérica contínua se distribui em um grande volume de registros — aqui, a taxa de mortalidade por DCNT/100k hab. calculada para cada uma das 81.961 combinações de município e ano. O gráfico divide o intervalo de valores em faixas de largura fixa (bins) e conta quantos registros caem em cada uma; a altura da barra é essa contagem. A leitura revela onde a maior parte dos casos se concentra (moda e mediana), se a distribuição é simétrica, e o tamanho da cauda de valores extremos. Aqui, a maioria das barras altas fica entre 100 e 300 óbitos/100k, com poucos municípios acima de 1.000 — uma cauda longa à direita que caracteriza assimetria positiva, puxando a média para cima em relação à mediana.</w:t>
      </w:r>
    </w:p>
    <w:p w14:paraId="27973670" w14:textId="77777777" w:rsidR="00BD53B6" w:rsidRPr="00833BEC" w:rsidRDefault="00000000" w:rsidP="000459F7">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8627DE" wp14:editId="4A5C43BD">
            <wp:extent cx="4807975" cy="2392712"/>
            <wp:effectExtent l="0" t="0" r="5715" b="0"/>
            <wp:docPr id="483020798" name="figura" descr="Figura do relató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54926" cy="2416077"/>
                    </a:xfrm>
                    <a:prstGeom prst="rect">
                      <a:avLst/>
                    </a:prstGeom>
                  </pic:spPr>
                </pic:pic>
              </a:graphicData>
            </a:graphic>
          </wp:inline>
        </w:drawing>
      </w:r>
    </w:p>
    <w:p w14:paraId="6F103D61" w14:textId="77777777" w:rsidR="00BD53B6" w:rsidRDefault="00000000" w:rsidP="000459F7">
      <w:pPr>
        <w:spacing w:before="120" w:after="120"/>
        <w:jc w:val="center"/>
        <w:rPr>
          <w:rFonts w:ascii="Times New Roman" w:hAnsi="Times New Roman" w:cs="Times New Roman"/>
          <w:i/>
          <w:iCs/>
          <w:sz w:val="24"/>
          <w:szCs w:val="24"/>
        </w:rPr>
      </w:pPr>
      <w:r>
        <w:rPr>
          <w:rFonts w:ascii="Arial" w:hAnsi="Arial" w:cs="Arial"/>
          <w:b/>
          <w:iCs/>
          <w:sz w:val="20"/>
          <w:szCs w:val="24"/>
        </w:rPr>
        <w:t>Figura 2a — Histograma da distribuição da taxa DCNT/100k hab. (todos os municípios × anos).</w:t>
      </w:r>
    </w:p>
    <w:p w14:paraId="5D0F9225" w14:textId="77777777" w:rsidR="00BD53B6" w:rsidRPr="007D0774" w:rsidRDefault="00000000" w:rsidP="000459F7">
      <w:pPr>
        <w:spacing w:before="120" w:after="80"/>
        <w:jc w:val="both"/>
      </w:pPr>
      <w:r>
        <w:rPr>
          <w:rFonts w:ascii="Times New Roman" w:hAnsi="Times New Roman" w:cs="Times New Roman"/>
          <w:b/>
          <w:bCs/>
          <w:sz w:val="24"/>
          <w:szCs w:val="24"/>
        </w:rPr>
        <w:lastRenderedPageBreak/>
        <w:t>Boxplot (Gráfico de Caixas) da Taxa DCNT por Grande Região</w:t>
      </w:r>
    </w:p>
    <w:p w14:paraId="39668276" w14:textId="77777777" w:rsidR="00BD53B6"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O boxplot compara a distribuição da mesma variável entre grupos — aqui, as cinco grandes regiões do Brasil. Cada caixa resume cinco estatísticas de posição: o primeiro quartil (Q1, 25% dos dados abaixo), a mediana (Q2, 50%), o terceiro quartil (Q3, 75%) e os limites inferior/superior (tipicamente 1,5×IQR além de Q1/Q3); registros além desses limites são outliers. A leitura revela o nível típico de mortalidade de cada região (mediana), sua dispersão (altura da caixa e das hastes) e a frequência de municípios com mortalidade atipicamente alta em cada região.</w:t>
      </w:r>
    </w:p>
    <w:p w14:paraId="2CA7CDB9" w14:textId="77777777" w:rsidR="00BD53B6" w:rsidRPr="00833BEC" w:rsidRDefault="00000000" w:rsidP="000459F7">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8627DF" wp14:editId="5046BC83">
            <wp:extent cx="4508695" cy="2259764"/>
            <wp:effectExtent l="0" t="0" r="0" b="1270"/>
            <wp:docPr id="483020799" name="figura" descr="Figura do relató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8593" cy="2294797"/>
                    </a:xfrm>
                    <a:prstGeom prst="rect">
                      <a:avLst/>
                    </a:prstGeom>
                  </pic:spPr>
                </pic:pic>
              </a:graphicData>
            </a:graphic>
          </wp:inline>
        </w:drawing>
      </w:r>
    </w:p>
    <w:p w14:paraId="3C8BF86A" w14:textId="77777777" w:rsidR="00BD53B6" w:rsidRDefault="00000000" w:rsidP="000459F7">
      <w:pPr>
        <w:spacing w:before="120" w:after="120"/>
        <w:jc w:val="center"/>
        <w:rPr>
          <w:rFonts w:ascii="Times New Roman" w:hAnsi="Times New Roman" w:cs="Times New Roman"/>
          <w:i/>
          <w:iCs/>
          <w:sz w:val="24"/>
          <w:szCs w:val="24"/>
        </w:rPr>
      </w:pPr>
      <w:r>
        <w:rPr>
          <w:rFonts w:ascii="Arial" w:hAnsi="Arial" w:cs="Arial"/>
          <w:b/>
          <w:iCs/>
          <w:sz w:val="20"/>
          <w:szCs w:val="24"/>
        </w:rPr>
        <w:t>Figura 2b — Boxplot da taxa DCNT/100k hab. por grande região, ordenado pela mediana.</w:t>
      </w:r>
    </w:p>
    <w:p w14:paraId="60C5DBEA" w14:textId="77777777" w:rsidR="00C0654F" w:rsidRDefault="00C0654F" w:rsidP="000459F7">
      <w:pPr>
        <w:spacing w:after="120"/>
        <w:jc w:val="both"/>
        <w:rPr>
          <w:rFonts w:ascii="Times New Roman" w:hAnsi="Times New Roman" w:cs="Times New Roman"/>
          <w:sz w:val="24"/>
          <w:szCs w:val="24"/>
        </w:rPr>
      </w:pPr>
      <w:r>
        <w:rPr>
          <w:rFonts w:ascii="Times New Roman" w:hAnsi="Times New Roman" w:cs="Times New Roman"/>
          <w:sz w:val="24"/>
          <w:szCs w:val="24"/>
        </w:rPr>
        <w:t xml:space="preserve">O gráfico abaixo mostra a evolução da taxa de mortalidade por grande região. Podenos visualizar que na regiçao Sul tem dados maiores que a região Sudeste que, por sua vez, tem dados maiores que a região Nordeste que são maiores que a região Centro-Oeste que são maiores que a região Norte. </w:t>
      </w:r>
    </w:p>
    <w:p w14:paraId="21927EF2" w14:textId="77777777" w:rsidR="00BD53B6" w:rsidRPr="00833BEC"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A série histórica nacional mostra tendência de alta ao longo da década — de 211,7/100k em 2010 para 235,8/100k em 2019 — com um salto adicional durante e após o período da pandemia de COVID-19 (247,3 em 2020; 252,8 em 2021; pico de 270,9 em 2022), seguido de leve recuo em 2023 (257,7) e nova alta em 2024 (263,1).</w:t>
      </w:r>
    </w:p>
    <w:p w14:paraId="0C1CC2B7" w14:textId="77777777" w:rsidR="00BD53B6" w:rsidRPr="00833BEC" w:rsidRDefault="00000000" w:rsidP="000459F7">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66997A8" wp14:editId="3E4EB249">
            <wp:extent cx="5344332" cy="2497015"/>
            <wp:effectExtent l="0" t="0" r="2540" b="5080"/>
            <wp:docPr id="350456722" name="figura" descr="Figura do relató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5200" cy="2525454"/>
                    </a:xfrm>
                    <a:prstGeom prst="rect">
                      <a:avLst/>
                    </a:prstGeom>
                  </pic:spPr>
                </pic:pic>
              </a:graphicData>
            </a:graphic>
          </wp:inline>
        </w:drawing>
      </w:r>
    </w:p>
    <w:p w14:paraId="46668DD1" w14:textId="77777777" w:rsidR="00BD53B6" w:rsidRPr="00833BEC" w:rsidRDefault="00000000" w:rsidP="000459F7">
      <w:pPr>
        <w:spacing w:before="120" w:after="120"/>
        <w:jc w:val="center"/>
        <w:rPr>
          <w:rFonts w:ascii="Times New Roman" w:hAnsi="Times New Roman" w:cs="Times New Roman"/>
          <w:sz w:val="24"/>
          <w:szCs w:val="24"/>
        </w:rPr>
      </w:pPr>
      <w:r>
        <w:rPr>
          <w:rFonts w:ascii="Arial" w:hAnsi="Arial" w:cs="Arial"/>
          <w:b/>
          <w:iCs/>
          <w:sz w:val="20"/>
          <w:szCs w:val="24"/>
        </w:rPr>
        <w:t>Figura 3 — Evolução temporal da taxa média de DCNT por grande região (2010–2024), com destaque para o período COVID-19.</w:t>
      </w:r>
    </w:p>
    <w:p w14:paraId="675B72A0" w14:textId="77777777" w:rsidR="00BD53B6"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A matriz de correlação (Pearson e Spearman) entre os indicadores que alimentam o clustering — taxa média, tendência temporal, porte populacional (log) e as quatro proporções por grupo de DCNT — foi usada para diagnosticar redundância composicional: como as quatro proporções somam aproximadamente 1, eram esperadas correlações negativas entre si. A proporção prop_cardiovascular mostrou a maior colinearidade média (|correlação| ≈ 0,46) com as demais proporções e foi removida do conjunto de features na etapa de modelagem, evitando dupla contagem de variância composicional.</w:t>
      </w:r>
    </w:p>
    <w:p w14:paraId="3A494CF3" w14:textId="77777777" w:rsidR="00BD53B6" w:rsidRPr="0054124E" w:rsidRDefault="00000000" w:rsidP="000459F7">
      <w:pPr>
        <w:pStyle w:val="Heading3"/>
        <w:spacing w:before="240"/>
        <w:rPr>
          <w:rFonts w:ascii="Times New Roman" w:hAnsi="Times New Roman" w:cs="Times New Roman"/>
          <w:i w:val="0"/>
          <w:iCs w:val="0"/>
          <w:sz w:val="24"/>
          <w:szCs w:val="24"/>
        </w:rPr>
      </w:pPr>
      <w:r>
        <w:rPr>
          <w:rFonts w:ascii="Times New Roman" w:hAnsi="Times New Roman" w:cs="Times New Roman"/>
          <w:i w:val="0"/>
          <w:iCs w:val="0"/>
          <w:sz w:val="24"/>
          <w:szCs w:val="24"/>
        </w:rPr>
        <w:t>3.4.2 Clustering — Identificação de Perfis Municipais</w:t>
      </w:r>
    </w:p>
    <w:p w14:paraId="2919E48A" w14:textId="77777777" w:rsidR="00801A7F"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 xml:space="preserve">A matriz de features foi construída com uma linha por município, agregando o histórico 2010–2024: taxa média da mortalidade DCNT, tendência, log₁₀ da população média e as proporções de óbitos DCNT por grupo de causa. Antes da normalização, foi aplicado um filtro de estabilidade: municípios de porte muito pequeno apresentam taxas voláteis, por conta do denominador populacional baixo. O critério log_pop_media ≥ 4,0 (aproximadamente 10 mil habitantes) reduziu o conjunto de 5.570 para 3.103 municípios. Os excluídos ficam sem rótulo de cluster e aparecem em cinza no mapa da </w:t>
      </w:r>
      <w:hyperlink w:anchor="Figura_07" w:history="1">
        <w:r w:rsidR="00801A7F">
          <w:rPr>
            <w:rStyle w:val="Hyperlink"/>
            <w:rFonts w:ascii="Times New Roman" w:hAnsi="Times New Roman" w:cs="Times New Roman"/>
            <w:sz w:val="24"/>
            <w:szCs w:val="24"/>
          </w:rPr>
          <w:t>Figura 5</w:t>
        </w:r>
      </w:hyperlink>
      <w:r>
        <w:rPr>
          <w:rFonts w:ascii="Times New Roman" w:hAnsi="Times New Roman" w:cs="Times New Roman"/>
          <w:sz w:val="24"/>
          <w:szCs w:val="24"/>
        </w:rPr>
        <w:t xml:space="preserve">. </w:t>
      </w:r>
    </w:p>
    <w:p w14:paraId="616148F0" w14:textId="77777777" w:rsidR="00BD53B6" w:rsidRPr="00833BEC"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As seis features remanescentes (taxa média, tendência, porte populacional e três das quatro proporções de causa, com prop_cardiovascular removida por redundância) foram imputadas (mediana) e normalizadas com RobustScaler.</w:t>
      </w:r>
    </w:p>
    <w:p w14:paraId="6C3811FA" w14:textId="77777777" w:rsidR="00BD53B6" w:rsidRPr="00833BEC"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Os municípios foram agrupados usando o algoritmo de aprendizado de máquina não supervisionado K-Means, uma das técnicas mais usadas para dividir um conjunto de dados em grupos (clusters) de elementos parecidos entre si, posicionando um centro por grupo e reatribuindo cada município ao centro mais próximo em rodadas sucessivas até a convergência. O número de grupos (k) precisa ser definido a priori; usamos dois critérios técnicos complementares (Elbow Method e Silhouette Score) para testar valores de k entre 2 e 10, e ambos, em conjunto, apontaram dois grupos como a divisão mais adequada para os dados (k = 2, Silhouette = 0,2523).</w:t>
      </w:r>
    </w:p>
    <w:p w14:paraId="3E168826" w14:textId="77777777" w:rsidR="00BD53B6" w:rsidRPr="00833BEC"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O K-Means final (k = 2) divide os 3.103 municípios estáveis em dois perfis ao longo do gráfico de mortalidade: o Cluster 0 (2.193 municípios, 60% deles nas regiões Norte/Nordeste) reúne municípios menores (log₁₀pop médio 4,32, ≈ 21 mil hab.), com taxa DCNT mais baixa (202,1/100k), tendência de alta mais suave e maior peso relativo de diabetes (prop. 0,123 vs. 0,092). O Cluster 1 (910 municípios, 75% deles nas regiões Sul/Sudeste) reúne municípios maiores (log₁₀pop médio 4,76, ≈ 58 mil hab.), com taxa DCNT alta (420,4/100k), tendência de alta mais acentuada (slope 6,43 vs. 4,10) e maior peso de neoplasia (0,274 vs. 0,206) e doenças respiratórias (0,129 vs. 0,096).</w:t>
      </w:r>
    </w:p>
    <w:p w14:paraId="0171FC0A" w14:textId="77777777" w:rsidR="00BD53B6" w:rsidRDefault="00000000" w:rsidP="000459F7">
      <w:pPr>
        <w:spacing w:before="120" w:after="80"/>
        <w:jc w:val="both"/>
      </w:pPr>
      <w:r>
        <w:rPr>
          <w:rFonts w:ascii="Times New Roman" w:hAnsi="Times New Roman" w:cs="Times New Roman"/>
          <w:b/>
          <w:bCs/>
          <w:sz w:val="24"/>
          <w:szCs w:val="24"/>
        </w:rPr>
        <w:t>Distribuição dos Dois Clusters</w:t>
      </w:r>
    </w:p>
    <w:p w14:paraId="0CDEC422" w14:textId="77777777" w:rsidR="00BD53B6"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Cada um dos 3.103 municípios foi descrito por seis características ao mesmo tempo (taxa média, tendência, porte populacional e três proporções de causa) — mais do que se consegue desenhar em um gráfico de duas dimensões. Para visualizar o agrupamento, usamos PCA (Análise de Componentes Principais), que resume essas seis características em duas novas medidas (PC1 e PC2) preservando o máximo possível da variação original; no gráfico a seguir, cada ponto é um município, colorido pelo cluster atribuído — a posição não tem significado direto, mas a proximidade entre pontos indica semelhança.</w:t>
      </w:r>
    </w:p>
    <w:p w14:paraId="5916FE2E" w14:textId="77777777" w:rsidR="00AA5744" w:rsidRDefault="00AA5744" w:rsidP="000459F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A cor azul representa o Cluster 0 e laranja o Cluster 1. Os dois grupos formam duas "nuvens" sem fronteira nítida — confirmando visualmente que os municípios formam um gradiente contínuo de mortalidade por DCNT, e não dois grupos totalmente separados.</w:t>
      </w:r>
    </w:p>
    <w:p w14:paraId="62220808" w14:textId="77777777" w:rsidR="00BD53B6" w:rsidRDefault="00000000" w:rsidP="000459F7">
      <w:pPr>
        <w:spacing w:before="120" w:after="60"/>
        <w:jc w:val="center"/>
      </w:pPr>
      <w:r>
        <w:rPr>
          <w:rFonts w:ascii="Times New Roman" w:hAnsi="Times New Roman" w:cs="Times New Roman"/>
          <w:noProof/>
          <w:sz w:val="24"/>
          <w:szCs w:val="24"/>
        </w:rPr>
        <w:drawing>
          <wp:inline distT="0" distB="0" distL="0" distR="0" wp14:anchorId="1A100010" wp14:editId="412BEE4A">
            <wp:extent cx="4159140" cy="2890911"/>
            <wp:effectExtent l="0" t="0" r="0" b="5080"/>
            <wp:docPr id="1377700229" name="figura" descr="Figura do relató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86286" cy="2909780"/>
                    </a:xfrm>
                    <a:prstGeom prst="rect">
                      <a:avLst/>
                    </a:prstGeom>
                  </pic:spPr>
                </pic:pic>
              </a:graphicData>
            </a:graphic>
          </wp:inline>
        </w:drawing>
      </w:r>
    </w:p>
    <w:p w14:paraId="4E9B10EB" w14:textId="77777777" w:rsidR="00BD53B6" w:rsidRDefault="00000000" w:rsidP="000459F7">
      <w:pPr>
        <w:spacing w:before="120" w:after="120"/>
        <w:jc w:val="center"/>
        <w:rPr>
          <w:rFonts w:ascii="Times New Roman" w:hAnsi="Times New Roman" w:cs="Times New Roman"/>
          <w:i/>
          <w:iCs/>
          <w:sz w:val="24"/>
          <w:szCs w:val="24"/>
        </w:rPr>
      </w:pPr>
      <w:r>
        <w:rPr>
          <w:rFonts w:ascii="Arial" w:hAnsi="Arial" w:cs="Arial"/>
          <w:b/>
          <w:iCs/>
          <w:sz w:val="20"/>
          <w:szCs w:val="24"/>
        </w:rPr>
        <w:t>Figura 4 — Projeção em duas dimensões (PCA) dos municípios, coloridos por cluster atribuído pelo K-Means.</w:t>
      </w:r>
    </w:p>
    <w:p w14:paraId="2DE4E46F" w14:textId="77777777" w:rsidR="00BD53B6" w:rsidRDefault="000459F7" w:rsidP="000459F7">
      <w:pPr>
        <w:spacing w:after="120"/>
        <w:jc w:val="both"/>
        <w:rPr>
          <w:rFonts w:ascii="Times New Roman" w:hAnsi="Times New Roman" w:cs="Times New Roman"/>
          <w:sz w:val="24"/>
          <w:szCs w:val="24"/>
        </w:rPr>
      </w:pPr>
      <w:r>
        <w:rPr>
          <w:rFonts w:ascii="Times New Roman" w:hAnsi="Times New Roman" w:cs="Times New Roman"/>
          <w:sz w:val="24"/>
          <w:szCs w:val="24"/>
        </w:rPr>
        <w:t>Por sua vez, a figura 5 traz os dados coropléticos dos clusters acima citados.</w:t>
      </w:r>
    </w:p>
    <w:p w14:paraId="411C40BA" w14:textId="77777777" w:rsidR="00BD53B6" w:rsidRPr="00833BEC" w:rsidRDefault="00000000" w:rsidP="000459F7">
      <w:pPr>
        <w:spacing w:before="120" w:after="60"/>
        <w:jc w:val="center"/>
        <w:rPr>
          <w:rFonts w:ascii="Times New Roman" w:hAnsi="Times New Roman" w:cs="Times New Roman"/>
          <w:sz w:val="24"/>
          <w:szCs w:val="24"/>
        </w:rPr>
      </w:pPr>
      <w:bookmarkStart w:id="0" w:name="Figura_07"/>
      <w:r>
        <w:rPr>
          <w:rFonts w:ascii="Times New Roman" w:hAnsi="Times New Roman" w:cs="Times New Roman"/>
          <w:noProof/>
          <w:sz w:val="24"/>
          <w:szCs w:val="24"/>
        </w:rPr>
        <w:drawing>
          <wp:inline distT="0" distB="0" distL="0" distR="0" wp14:anchorId="14F65F08" wp14:editId="59296703">
            <wp:extent cx="5359641" cy="2426677"/>
            <wp:effectExtent l="0" t="0" r="0" b="0"/>
            <wp:docPr id="327650705" name="figura" descr="Figura do relató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73851" cy="2433111"/>
                    </a:xfrm>
                    <a:prstGeom prst="rect">
                      <a:avLst/>
                    </a:prstGeom>
                  </pic:spPr>
                </pic:pic>
              </a:graphicData>
            </a:graphic>
          </wp:inline>
        </w:drawing>
      </w:r>
      <w:bookmarkEnd w:id="0"/>
    </w:p>
    <w:p w14:paraId="73EC0791" w14:textId="77777777" w:rsidR="00BD53B6" w:rsidRDefault="00000000" w:rsidP="000459F7">
      <w:pPr>
        <w:spacing w:before="120" w:after="120"/>
        <w:jc w:val="center"/>
        <w:rPr>
          <w:rFonts w:ascii="Times New Roman" w:hAnsi="Times New Roman" w:cs="Times New Roman"/>
          <w:i/>
          <w:iCs/>
          <w:sz w:val="24"/>
          <w:szCs w:val="24"/>
        </w:rPr>
      </w:pPr>
      <w:r>
        <w:rPr>
          <w:rFonts w:ascii="Arial" w:hAnsi="Arial" w:cs="Arial"/>
          <w:b/>
          <w:iCs/>
          <w:sz w:val="20"/>
          <w:szCs w:val="24"/>
        </w:rPr>
        <w:t>Figura 5 — Mapa coroplético: taxa DCNT/100k hab. em 2024 (esquerda) e cluster atribuído por município (direita); cinza = município sem dados suficientes para clustering.</w:t>
      </w:r>
    </w:p>
    <w:p w14:paraId="40EB4A60" w14:textId="77777777" w:rsidR="000459F7" w:rsidRDefault="000459F7" w:rsidP="000459F7">
      <w:pPr>
        <w:spacing w:after="220"/>
        <w:jc w:val="both"/>
        <w:rPr>
          <w:rFonts w:ascii="Times New Roman" w:hAnsi="Times New Roman" w:cs="Times New Roman"/>
          <w:sz w:val="24"/>
          <w:szCs w:val="24"/>
        </w:rPr>
      </w:pPr>
      <w:r>
        <w:rPr>
          <w:rFonts w:ascii="Times New Roman" w:hAnsi="Times New Roman" w:cs="Times New Roman"/>
          <w:sz w:val="24"/>
          <w:szCs w:val="24"/>
        </w:rPr>
        <w:t>No mapa da esquerda, cada município é pintado conforme sua taxa de mortalidade em 2024 (mais escuro/avermelhado = maior taxa). No mapa da direita, a cor indica o cluster atribuído: azul para o Cluster 0 (municípios menores, taxa mais baixa) e laranja para o Cluster 1 (municípios maiores, taxa mais alta); cinza indica municípios fora do agrupamento. As áreas mais escuras à esquerda coincidem com áreas laranja à direita, sobretudo no Sul e Sudeste.</w:t>
      </w:r>
    </w:p>
    <w:p w14:paraId="1D9112BA" w14:textId="77777777" w:rsidR="00BD53B6" w:rsidRPr="00833BEC" w:rsidRDefault="00000000" w:rsidP="000459F7">
      <w:pPr>
        <w:pStyle w:val="Heading1"/>
        <w:spacing w:before="240"/>
        <w:rPr>
          <w:rFonts w:ascii="Times New Roman" w:hAnsi="Times New Roman" w:cs="Times New Roman"/>
          <w:sz w:val="24"/>
          <w:szCs w:val="24"/>
        </w:rPr>
      </w:pPr>
      <w:r>
        <w:rPr>
          <w:rFonts w:ascii="Times New Roman" w:hAnsi="Times New Roman" w:cs="Times New Roman"/>
          <w:szCs w:val="24"/>
        </w:rPr>
        <w:lastRenderedPageBreak/>
        <w:t>4. Discussão</w:t>
      </w:r>
    </w:p>
    <w:p w14:paraId="618838D8" w14:textId="77777777" w:rsidR="00BD53B6" w:rsidRPr="00833BEC"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Os resultados confirmam, em granularidade municipal e para um período mais recente (2010–2024), o gradiente regional de mortalidade por DCNT já apontado por Malta et al. (2014) em nível estadual e por Cardoso et al. (2020) em nível municipal: Sul e Sudeste concentram as maiores taxas médias, o Norte as menores. A leitura municipal revela heterogeneidade adicional dentro de cada região — municípios pequenos, em qualquer região, podem apresentar taxas extremas por instabilidade do denominador populacional, o que motivou o filtro de estabilidade aplicado antes do clustering.</w:t>
      </w:r>
    </w:p>
    <w:p w14:paraId="41F9970D" w14:textId="77777777" w:rsidR="00BD53B6" w:rsidRPr="00833BEC"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O perfil do Cluster 0 é consistente com o achado de Brant et al. (2025) de que a redução de mortalidade cardiovascular (2000–2018) foi menor nos municípios pequenos de regiões menos desenvolvidas — sugerindo que a diferença entre clusters não é apenas de nível, mas de trajetória: o Cluster 1 já partia de taxas mais altas e apresenta tendência de alta mais acentuada (Seção 3.4.2), enquanto o Cluster 0 muda mais lentamente. Cardoso et al. (2020) também reportam aumento de mortalidade por câncer e diabetes no Norte/Nordeste, alinhado ao maior peso de diabetes no Cluster 0.</w:t>
      </w:r>
    </w:p>
    <w:p w14:paraId="1F24ACBC" w14:textId="77777777" w:rsidR="00BD53B6" w:rsidRPr="00833BEC"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A trajetória temporal nacional mostra reversão da tendência histórica de queda observada por Malta et al. (2014) para 2000–2011: a série 2010–2024 revela estabilidade seguida de alta acentuada a partir de 2020, coincidindo com a pandemia de COVID-19 — possivelmente refletindo tanto a sobrecarga dos sistemas de saúde sobre o manejo de doenças crônicas quanto efeitos indiretos sobre o registro de causas de óbito, o que merece investigação futura.</w:t>
      </w:r>
    </w:p>
    <w:p w14:paraId="5D03680F" w14:textId="77777777" w:rsidR="00655939"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 xml:space="preserve">O agrupamento por K-Means indica que os municípios brasileiros não se organizam em clusters naturalmente discretos quanto à mortalidade por DCNT, mas ao longo de um gradiente contínuo de transição demográfica e epidemiológica, indo de municípios menores, com perfil de mortalidade mais associado a diabetes, a municípios maiores, com maior peso de neoplasias e doenças respiratórias e taxas mais altas. </w:t>
      </w:r>
    </w:p>
    <w:p w14:paraId="66BBF764" w14:textId="77777777" w:rsidR="00BD53B6" w:rsidRPr="00833BEC" w:rsidRDefault="00000000" w:rsidP="000459F7">
      <w:pPr>
        <w:pStyle w:val="Heading1"/>
        <w:spacing w:before="240"/>
        <w:rPr>
          <w:rFonts w:ascii="Times New Roman" w:hAnsi="Times New Roman" w:cs="Times New Roman"/>
          <w:sz w:val="24"/>
          <w:szCs w:val="24"/>
        </w:rPr>
      </w:pPr>
      <w:r>
        <w:rPr>
          <w:rFonts w:ascii="Times New Roman" w:hAnsi="Times New Roman" w:cs="Times New Roman"/>
          <w:szCs w:val="24"/>
        </w:rPr>
        <w:t>5. Considerações, Limitações e Trabalhos Futuros</w:t>
      </w:r>
    </w:p>
    <w:p w14:paraId="540E9F67" w14:textId="77777777" w:rsidR="00BD53B6" w:rsidRPr="00833BEC"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A principal contribuição deste projeto é a integração reprodutível de três fontes públicas heterogêneas (SIM, IBGE municípios e IBGE população) em um dataset analítico municipal de mortalidade por DCNT cobrindo 15 anos, com todo o pipeline documentado em uma arquitetura Medallion.</w:t>
      </w:r>
    </w:p>
    <w:p w14:paraId="500617B8" w14:textId="77777777" w:rsidR="00BD53B6" w:rsidRPr="00833BEC"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O trabalho também apresenta limitações a considerar. Municípios muito pequenos têm taxas voláteis por baixo denominador populacional; o filtro de estabilidade mitiga, mas não elimina, esse efeito, reduzindo a cobertura do clustering a cerca de 56% dos municípios. A estrutura de cluster encontrada é fraca (Silhouette ≈ 0,25) e deve ser interpretada como uma partição de um gradiente contínuo, não como classes discretas. Há ainda uma limitação de qualidade de dados: o SIM está sujeito a sub-registro, mais frequente no Norte e Nordeste — este projeto não aplicou as correções usadas por Malta et al. (2014), o que pode subestimar taxas nessas regiões.</w:t>
      </w:r>
    </w:p>
    <w:p w14:paraId="14C8DDDD" w14:textId="77777777" w:rsidR="00BD53B6" w:rsidRPr="00833BEC" w:rsidRDefault="00000000" w:rsidP="000459F7">
      <w:pPr>
        <w:spacing w:after="120"/>
        <w:jc w:val="both"/>
        <w:rPr>
          <w:rFonts w:ascii="Times New Roman" w:hAnsi="Times New Roman" w:cs="Times New Roman"/>
          <w:sz w:val="24"/>
          <w:szCs w:val="24"/>
        </w:rPr>
      </w:pPr>
      <w:r>
        <w:rPr>
          <w:rFonts w:ascii="Times New Roman" w:hAnsi="Times New Roman" w:cs="Times New Roman"/>
          <w:sz w:val="24"/>
          <w:szCs w:val="24"/>
        </w:rPr>
        <w:t>Como trabalhos futuros, sugere-se aplicar correções de sub-registro por região, incorporar variáveis socioeconômicas (renda, IDH, cobertura de atenção básica) como possíveis fatores associados aos perfis identificados, e testar modelos preditivos para antecipar municípios em trajetória de alta de mortalidade.</w:t>
      </w:r>
    </w:p>
    <w:p w14:paraId="78F42FF6" w14:textId="77777777" w:rsidR="00BD53B6" w:rsidRPr="00833BEC" w:rsidRDefault="00000000" w:rsidP="000459F7">
      <w:pPr>
        <w:pStyle w:val="Heading1"/>
        <w:spacing w:before="240"/>
        <w:rPr>
          <w:rFonts w:ascii="Times New Roman" w:hAnsi="Times New Roman" w:cs="Times New Roman"/>
          <w:sz w:val="24"/>
          <w:szCs w:val="24"/>
        </w:rPr>
      </w:pPr>
      <w:r>
        <w:rPr>
          <w:rFonts w:ascii="Times New Roman" w:hAnsi="Times New Roman" w:cs="Times New Roman"/>
          <w:szCs w:val="24"/>
        </w:rPr>
        <w:lastRenderedPageBreak/>
        <w:t>6. Referências</w:t>
      </w:r>
    </w:p>
    <w:p w14:paraId="4AE0F7EA" w14:textId="77777777" w:rsidR="00BD53B6" w:rsidRPr="00833BEC" w:rsidRDefault="00000000" w:rsidP="000459F7">
      <w:pPr>
        <w:spacing w:before="120"/>
        <w:ind w:left="283" w:hanging="283"/>
        <w:jc w:val="both"/>
        <w:rPr>
          <w:rFonts w:ascii="Times New Roman" w:hAnsi="Times New Roman" w:cs="Times New Roman"/>
          <w:sz w:val="24"/>
          <w:szCs w:val="24"/>
        </w:rPr>
      </w:pPr>
      <w:r>
        <w:rPr>
          <w:rFonts w:ascii="Times New Roman" w:hAnsi="Times New Roman" w:cs="Times New Roman"/>
          <w:sz w:val="24"/>
          <w:szCs w:val="24"/>
        </w:rPr>
        <w:t>CARDOSO, L. S. de M.; TEIXEIRA, R. A.; FRANÇA, E. B. et al. Premature mortality due to non-communicable diseases in Brazilian municipalities estimated for the three-year periods of 2010 to 2012 and 2015 to 2017. Revista Brasileira de Epidemiologia, v. 23, e200008, 2020. DOI: 10.1590/1980-549720200008.supl.1.</w:t>
      </w:r>
    </w:p>
    <w:p w14:paraId="3393961D" w14:textId="77777777" w:rsidR="00BD53B6" w:rsidRPr="00833BEC" w:rsidRDefault="00000000" w:rsidP="000459F7">
      <w:pPr>
        <w:spacing w:before="120"/>
        <w:ind w:left="283" w:hanging="283"/>
        <w:jc w:val="both"/>
        <w:rPr>
          <w:rFonts w:ascii="Times New Roman" w:hAnsi="Times New Roman" w:cs="Times New Roman"/>
          <w:sz w:val="24"/>
          <w:szCs w:val="24"/>
        </w:rPr>
      </w:pPr>
      <w:r>
        <w:rPr>
          <w:rFonts w:ascii="Times New Roman" w:hAnsi="Times New Roman" w:cs="Times New Roman"/>
          <w:sz w:val="24"/>
          <w:szCs w:val="24"/>
        </w:rPr>
        <w:t>BRANT, L. C. C. et al. Cardiovascular diseases mortality in Brazilian municipalities: estimates from the Global Burden of Disease study, 2000–2018. Lancet Regional Health – Americas, 2025.</w:t>
      </w:r>
    </w:p>
    <w:p w14:paraId="3FF2A2AA" w14:textId="77777777" w:rsidR="00BD53B6" w:rsidRPr="00833BEC" w:rsidRDefault="00000000" w:rsidP="000459F7">
      <w:pPr>
        <w:spacing w:before="120"/>
        <w:ind w:left="283" w:hanging="283"/>
        <w:jc w:val="both"/>
        <w:rPr>
          <w:rFonts w:ascii="Times New Roman" w:hAnsi="Times New Roman" w:cs="Times New Roman"/>
          <w:sz w:val="24"/>
          <w:szCs w:val="24"/>
        </w:rPr>
      </w:pPr>
      <w:r>
        <w:rPr>
          <w:rFonts w:ascii="Times New Roman" w:hAnsi="Times New Roman" w:cs="Times New Roman"/>
          <w:sz w:val="24"/>
          <w:szCs w:val="24"/>
        </w:rPr>
        <w:t>MALTA, D. C.; MOURA, L.; PRADO, R. R. do; ESCALANTE, J. C.; SCHMIDT, M. I.; DUNCAN, B. B. Mortalidade por doenças crônicas não transmissíveis no Brasil e suas regiões, 2000 a 2011. Epidemiologia e Serviços de Saúde, v. 23, n. 4, p. 599–608, 2014. DOI: 10.5123/S1679-49742014000400002.</w:t>
      </w:r>
    </w:p>
    <w:p w14:paraId="5A571C36" w14:textId="77777777" w:rsidR="00BD53B6" w:rsidRPr="00833BEC" w:rsidRDefault="00000000" w:rsidP="000459F7">
      <w:pPr>
        <w:spacing w:before="120"/>
        <w:ind w:left="283" w:hanging="283"/>
        <w:jc w:val="both"/>
        <w:rPr>
          <w:rFonts w:ascii="Times New Roman" w:hAnsi="Times New Roman" w:cs="Times New Roman"/>
          <w:sz w:val="24"/>
          <w:szCs w:val="24"/>
        </w:rPr>
      </w:pPr>
      <w:r>
        <w:rPr>
          <w:rFonts w:ascii="Times New Roman" w:hAnsi="Times New Roman" w:cs="Times New Roman"/>
          <w:sz w:val="24"/>
          <w:szCs w:val="24"/>
        </w:rPr>
        <w:t>BRASIL. Ministério da Saúde. Sistema de Informações sobre Mortalidade (SIM). Departamento de Informática do SUS (DATASUS). Disponível em: https://datasus.saude.gov.br/. Acesso em: 2026.</w:t>
      </w:r>
    </w:p>
    <w:p w14:paraId="5AE23642" w14:textId="77777777" w:rsidR="00BD53B6" w:rsidRPr="00833BEC" w:rsidRDefault="00000000" w:rsidP="000459F7">
      <w:pPr>
        <w:spacing w:before="120"/>
        <w:ind w:left="283" w:hanging="283"/>
        <w:jc w:val="both"/>
        <w:rPr>
          <w:rFonts w:ascii="Times New Roman" w:hAnsi="Times New Roman" w:cs="Times New Roman"/>
          <w:sz w:val="24"/>
          <w:szCs w:val="24"/>
        </w:rPr>
      </w:pPr>
      <w:r>
        <w:rPr>
          <w:rFonts w:ascii="Times New Roman" w:hAnsi="Times New Roman" w:cs="Times New Roman"/>
          <w:sz w:val="24"/>
          <w:szCs w:val="24"/>
        </w:rPr>
        <w:t>INSTITUTO BRASILEIRO DE GEOGRAFIA E ESTATÍSTICA (IBGE). Cadastro de municípios, projeções populacionais e malha municipal 2022. Disponível em: https://www.ibge.gov.br/. Acesso em: 2026.</w:t>
      </w:r>
    </w:p>
    <w:p w14:paraId="3348585F" w14:textId="77777777" w:rsidR="00BD53B6" w:rsidRPr="00833BEC" w:rsidRDefault="00000000" w:rsidP="000459F7">
      <w:pPr>
        <w:spacing w:before="120"/>
        <w:ind w:left="283" w:hanging="283"/>
        <w:jc w:val="both"/>
        <w:rPr>
          <w:rFonts w:ascii="Times New Roman" w:hAnsi="Times New Roman" w:cs="Times New Roman"/>
          <w:sz w:val="24"/>
          <w:szCs w:val="24"/>
        </w:rPr>
      </w:pPr>
      <w:r>
        <w:rPr>
          <w:rFonts w:ascii="Times New Roman" w:hAnsi="Times New Roman" w:cs="Times New Roman"/>
          <w:sz w:val="24"/>
          <w:szCs w:val="24"/>
        </w:rPr>
        <w:t>ORGANIZAÇÃO MUNDIAL DA SAÚDE (OMS). Global status report on noncommunicable diseases 2010. Geneva: World Health Organization, 2011.</w:t>
      </w:r>
    </w:p>
    <w:p w14:paraId="7972F88B" w14:textId="77777777" w:rsidR="00BD53B6" w:rsidRPr="00833BEC" w:rsidRDefault="00000000" w:rsidP="000459F7">
      <w:pPr>
        <w:spacing w:before="120"/>
        <w:ind w:left="283" w:hanging="283"/>
        <w:jc w:val="both"/>
        <w:rPr>
          <w:rFonts w:ascii="Times New Roman" w:hAnsi="Times New Roman" w:cs="Times New Roman"/>
          <w:sz w:val="24"/>
          <w:szCs w:val="24"/>
        </w:rPr>
      </w:pPr>
      <w:r>
        <w:rPr>
          <w:rFonts w:ascii="Times New Roman" w:hAnsi="Times New Roman" w:cs="Times New Roman"/>
          <w:sz w:val="24"/>
          <w:szCs w:val="24"/>
        </w:rPr>
        <w:t>PEDREGOSA, F. et al. Scikit-learn: Machine Learning in Python. Journal of Machine Learning Research, v. 12, p. 2825–2830, 2011.</w:t>
      </w:r>
    </w:p>
    <w:sectPr w:rsidR="00BD53B6" w:rsidRPr="00833BEC">
      <w:pgSz w:w="11906" w:h="16838"/>
      <w:pgMar w:top="1984" w:right="1701" w:bottom="1417" w:left="1701"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9559F0" w14:textId="77777777" w:rsidR="00BC6302" w:rsidRDefault="00BC6302">
      <w:r>
        <w:separator/>
      </w:r>
    </w:p>
  </w:endnote>
  <w:endnote w:type="continuationSeparator" w:id="0">
    <w:p w14:paraId="1A091B34" w14:textId="77777777" w:rsidR="00BC6302" w:rsidRDefault="00BC6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E7FA3B" w14:textId="77777777" w:rsidR="00BC6302" w:rsidRDefault="00BC6302">
      <w:r>
        <w:separator/>
      </w:r>
    </w:p>
  </w:footnote>
  <w:footnote w:type="continuationSeparator" w:id="0">
    <w:p w14:paraId="6E4AD042" w14:textId="77777777" w:rsidR="00BC6302" w:rsidRDefault="00BC63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775CD4"/>
    <w:multiLevelType w:val="hybridMultilevel"/>
    <w:tmpl w:val="FC8409AC"/>
    <w:lvl w:ilvl="0" w:tplc="4F42F704">
      <w:start w:val="1"/>
      <w:numFmt w:val="bullet"/>
      <w:lvlText w:val="●"/>
      <w:lvlJc w:val="left"/>
      <w:pPr>
        <w:ind w:left="720" w:hanging="360"/>
      </w:pPr>
    </w:lvl>
    <w:lvl w:ilvl="1" w:tplc="0B40020C">
      <w:start w:val="1"/>
      <w:numFmt w:val="bullet"/>
      <w:lvlText w:val="○"/>
      <w:lvlJc w:val="left"/>
      <w:pPr>
        <w:ind w:left="1440" w:hanging="360"/>
      </w:pPr>
    </w:lvl>
    <w:lvl w:ilvl="2" w:tplc="D61C7486">
      <w:start w:val="1"/>
      <w:numFmt w:val="bullet"/>
      <w:lvlText w:val="■"/>
      <w:lvlJc w:val="left"/>
      <w:pPr>
        <w:ind w:left="2160" w:hanging="360"/>
      </w:pPr>
    </w:lvl>
    <w:lvl w:ilvl="3" w:tplc="AAFE670A">
      <w:start w:val="1"/>
      <w:numFmt w:val="bullet"/>
      <w:lvlText w:val="●"/>
      <w:lvlJc w:val="left"/>
      <w:pPr>
        <w:ind w:left="2880" w:hanging="360"/>
      </w:pPr>
    </w:lvl>
    <w:lvl w:ilvl="4" w:tplc="7FA8E382">
      <w:start w:val="1"/>
      <w:numFmt w:val="bullet"/>
      <w:lvlText w:val="○"/>
      <w:lvlJc w:val="left"/>
      <w:pPr>
        <w:ind w:left="3600" w:hanging="360"/>
      </w:pPr>
    </w:lvl>
    <w:lvl w:ilvl="5" w:tplc="953243F2">
      <w:start w:val="1"/>
      <w:numFmt w:val="bullet"/>
      <w:lvlText w:val="■"/>
      <w:lvlJc w:val="left"/>
      <w:pPr>
        <w:ind w:left="4320" w:hanging="360"/>
      </w:pPr>
    </w:lvl>
    <w:lvl w:ilvl="6" w:tplc="146AA342">
      <w:start w:val="1"/>
      <w:numFmt w:val="bullet"/>
      <w:lvlText w:val="●"/>
      <w:lvlJc w:val="left"/>
      <w:pPr>
        <w:ind w:left="5040" w:hanging="360"/>
      </w:pPr>
    </w:lvl>
    <w:lvl w:ilvl="7" w:tplc="C324EE8C">
      <w:start w:val="1"/>
      <w:numFmt w:val="bullet"/>
      <w:lvlText w:val="●"/>
      <w:lvlJc w:val="left"/>
      <w:pPr>
        <w:ind w:left="5760" w:hanging="360"/>
      </w:pPr>
    </w:lvl>
    <w:lvl w:ilvl="8" w:tplc="26308C54">
      <w:start w:val="1"/>
      <w:numFmt w:val="bullet"/>
      <w:lvlText w:val="●"/>
      <w:lvlJc w:val="left"/>
      <w:pPr>
        <w:ind w:left="6480" w:hanging="360"/>
      </w:pPr>
    </w:lvl>
  </w:abstractNum>
  <w:abstractNum w:abstractNumId="1" w15:restartNumberingAfterBreak="0">
    <w:nsid w:val="3148519A"/>
    <w:multiLevelType w:val="hybridMultilevel"/>
    <w:tmpl w:val="85129420"/>
    <w:lvl w:ilvl="0" w:tplc="1E867E74">
      <w:start w:val="1"/>
      <w:numFmt w:val="bullet"/>
      <w:lvlText w:val="•"/>
      <w:lvlJc w:val="left"/>
      <w:pPr>
        <w:ind w:left="460" w:hanging="260"/>
      </w:pPr>
    </w:lvl>
    <w:lvl w:ilvl="1" w:tplc="BA82A858">
      <w:numFmt w:val="decimal"/>
      <w:lvlText w:val=""/>
      <w:lvlJc w:val="left"/>
    </w:lvl>
    <w:lvl w:ilvl="2" w:tplc="C15C68D6">
      <w:numFmt w:val="decimal"/>
      <w:lvlText w:val=""/>
      <w:lvlJc w:val="left"/>
    </w:lvl>
    <w:lvl w:ilvl="3" w:tplc="3AD086C2">
      <w:numFmt w:val="decimal"/>
      <w:lvlText w:val=""/>
      <w:lvlJc w:val="left"/>
    </w:lvl>
    <w:lvl w:ilvl="4" w:tplc="6682F038">
      <w:numFmt w:val="decimal"/>
      <w:lvlText w:val=""/>
      <w:lvlJc w:val="left"/>
    </w:lvl>
    <w:lvl w:ilvl="5" w:tplc="24D20970">
      <w:numFmt w:val="decimal"/>
      <w:lvlText w:val=""/>
      <w:lvlJc w:val="left"/>
    </w:lvl>
    <w:lvl w:ilvl="6" w:tplc="6664842C">
      <w:numFmt w:val="decimal"/>
      <w:lvlText w:val=""/>
      <w:lvlJc w:val="left"/>
    </w:lvl>
    <w:lvl w:ilvl="7" w:tplc="EACAF798">
      <w:numFmt w:val="decimal"/>
      <w:lvlText w:val=""/>
      <w:lvlJc w:val="left"/>
    </w:lvl>
    <w:lvl w:ilvl="8" w:tplc="0948574A">
      <w:numFmt w:val="decimal"/>
      <w:lvlText w:val=""/>
      <w:lvlJc w:val="left"/>
    </w:lvl>
  </w:abstractNum>
  <w:abstractNum w:abstractNumId="2" w15:restartNumberingAfterBreak="0">
    <w:nsid w:val="43654028"/>
    <w:multiLevelType w:val="hybridMultilevel"/>
    <w:tmpl w:val="E59AD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4B3B12"/>
    <w:multiLevelType w:val="hybridMultilevel"/>
    <w:tmpl w:val="D0168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1270370">
    <w:abstractNumId w:val="0"/>
    <w:lvlOverride w:ilvl="0">
      <w:startOverride w:val="1"/>
    </w:lvlOverride>
  </w:num>
  <w:num w:numId="2" w16cid:durableId="1594625319">
    <w:abstractNumId w:val="1"/>
    <w:lvlOverride w:ilvl="0">
      <w:startOverride w:val="1"/>
    </w:lvlOverride>
  </w:num>
  <w:num w:numId="3" w16cid:durableId="1897424899">
    <w:abstractNumId w:val="3"/>
  </w:num>
  <w:num w:numId="4" w16cid:durableId="75767237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3B6"/>
    <w:rsid w:val="00005069"/>
    <w:rsid w:val="00005B03"/>
    <w:rsid w:val="000134ED"/>
    <w:rsid w:val="00042AA5"/>
    <w:rsid w:val="000459F7"/>
    <w:rsid w:val="000B6F99"/>
    <w:rsid w:val="000D2B1A"/>
    <w:rsid w:val="000E3678"/>
    <w:rsid w:val="000F21F1"/>
    <w:rsid w:val="00102C29"/>
    <w:rsid w:val="00143FC9"/>
    <w:rsid w:val="00180ABC"/>
    <w:rsid w:val="00191D0F"/>
    <w:rsid w:val="001A2127"/>
    <w:rsid w:val="001F2455"/>
    <w:rsid w:val="00241E06"/>
    <w:rsid w:val="002749E2"/>
    <w:rsid w:val="002F498E"/>
    <w:rsid w:val="00303CCA"/>
    <w:rsid w:val="0032044B"/>
    <w:rsid w:val="0033417D"/>
    <w:rsid w:val="00353464"/>
    <w:rsid w:val="003C0137"/>
    <w:rsid w:val="00420D87"/>
    <w:rsid w:val="0045087D"/>
    <w:rsid w:val="00451FF6"/>
    <w:rsid w:val="00480A3D"/>
    <w:rsid w:val="0048389C"/>
    <w:rsid w:val="005117D6"/>
    <w:rsid w:val="005149E4"/>
    <w:rsid w:val="00531E7D"/>
    <w:rsid w:val="0054124E"/>
    <w:rsid w:val="00567051"/>
    <w:rsid w:val="006447D8"/>
    <w:rsid w:val="00655939"/>
    <w:rsid w:val="00663A96"/>
    <w:rsid w:val="006B70F1"/>
    <w:rsid w:val="006C1177"/>
    <w:rsid w:val="006D187A"/>
    <w:rsid w:val="007208F2"/>
    <w:rsid w:val="0073619A"/>
    <w:rsid w:val="0078397C"/>
    <w:rsid w:val="007910F5"/>
    <w:rsid w:val="007D0774"/>
    <w:rsid w:val="007E233E"/>
    <w:rsid w:val="00801A7F"/>
    <w:rsid w:val="00823317"/>
    <w:rsid w:val="008269C5"/>
    <w:rsid w:val="00831E58"/>
    <w:rsid w:val="00833BEC"/>
    <w:rsid w:val="00867E5C"/>
    <w:rsid w:val="00867EE8"/>
    <w:rsid w:val="0087754C"/>
    <w:rsid w:val="00895D4C"/>
    <w:rsid w:val="008967B5"/>
    <w:rsid w:val="008F4CCE"/>
    <w:rsid w:val="00937E83"/>
    <w:rsid w:val="00942F20"/>
    <w:rsid w:val="0098605E"/>
    <w:rsid w:val="009C2597"/>
    <w:rsid w:val="009C6C03"/>
    <w:rsid w:val="00A00506"/>
    <w:rsid w:val="00A05487"/>
    <w:rsid w:val="00A2552A"/>
    <w:rsid w:val="00AA5744"/>
    <w:rsid w:val="00B14835"/>
    <w:rsid w:val="00B14BCE"/>
    <w:rsid w:val="00B74C20"/>
    <w:rsid w:val="00B96EFB"/>
    <w:rsid w:val="00BA76AB"/>
    <w:rsid w:val="00BB0E96"/>
    <w:rsid w:val="00BC6302"/>
    <w:rsid w:val="00BD2B5A"/>
    <w:rsid w:val="00BD53B6"/>
    <w:rsid w:val="00C01F6A"/>
    <w:rsid w:val="00C0654F"/>
    <w:rsid w:val="00C2027E"/>
    <w:rsid w:val="00C65D54"/>
    <w:rsid w:val="00C802ED"/>
    <w:rsid w:val="00C95B2B"/>
    <w:rsid w:val="00CD233D"/>
    <w:rsid w:val="00D10EE9"/>
    <w:rsid w:val="00D43290"/>
    <w:rsid w:val="00DB031A"/>
    <w:rsid w:val="00DC61D8"/>
    <w:rsid w:val="00E53D04"/>
    <w:rsid w:val="00E7223C"/>
    <w:rsid w:val="00E773DA"/>
    <w:rsid w:val="00E92082"/>
    <w:rsid w:val="00F0254E"/>
    <w:rsid w:val="00F74A64"/>
    <w:rsid w:val="00F802D6"/>
    <w:rsid w:val="00FA2342"/>
    <w:rsid w:val="00FD1221"/>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6C0D0BCE"/>
  <w15:docId w15:val="{591FBDE2-C584-9B4C-BFF5-0F1030693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19"/>
        <w:szCs w:val="19"/>
        <w:lang w:val="en-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40"/>
      <w:outlineLvl w:val="0"/>
    </w:pPr>
    <w:rPr>
      <w:b/>
      <w:bCs/>
      <w:color w:val="1A3A5C"/>
      <w:sz w:val="26"/>
      <w:szCs w:val="26"/>
    </w:rPr>
  </w:style>
  <w:style w:type="paragraph" w:styleId="Heading2">
    <w:name w:val="heading 2"/>
    <w:uiPriority w:val="9"/>
    <w:unhideWhenUsed/>
    <w:qFormat/>
    <w:pPr>
      <w:spacing w:before="200" w:after="100"/>
      <w:outlineLvl w:val="1"/>
    </w:pPr>
    <w:rPr>
      <w:b/>
      <w:bCs/>
      <w:color w:val="2E5C8A"/>
      <w:sz w:val="23"/>
      <w:szCs w:val="23"/>
    </w:rPr>
  </w:style>
  <w:style w:type="paragraph" w:styleId="Heading3">
    <w:name w:val="heading 3"/>
    <w:uiPriority w:val="9"/>
    <w:unhideWhenUsed/>
    <w:qFormat/>
    <w:pPr>
      <w:spacing w:before="140" w:after="80"/>
      <w:outlineLvl w:val="2"/>
    </w:pPr>
    <w:rPr>
      <w:b/>
      <w:bCs/>
      <w:i/>
      <w:iCs/>
      <w:color w:val="333333"/>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B6F99"/>
    <w:rPr>
      <w:color w:val="605E5C"/>
      <w:shd w:val="clear" w:color="auto" w:fill="E1DFDD"/>
    </w:rPr>
  </w:style>
  <w:style w:type="character" w:styleId="FollowedHyperlink">
    <w:name w:val="FollowedHyperlink"/>
    <w:basedOn w:val="DefaultParagraphFont"/>
    <w:uiPriority w:val="99"/>
    <w:semiHidden/>
    <w:unhideWhenUsed/>
    <w:rsid w:val="000134ED"/>
    <w:rPr>
      <w:color w:val="96607D" w:themeColor="followedHyperlink"/>
      <w:u w:val="single"/>
    </w:rPr>
  </w:style>
  <w:style w:type="table" w:styleId="TableGrid">
    <w:name w:val="Table Grid"/>
    <w:basedOn w:val="TableNormal"/>
    <w:uiPriority w:val="39"/>
    <w:rsid w:val="00937E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937E8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3">
    <w:name w:val="Grid Table 3"/>
    <w:basedOn w:val="TableNormal"/>
    <w:uiPriority w:val="48"/>
    <w:rsid w:val="00937E8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Accent1">
    <w:name w:val="Grid Table 5 Dark Accent 1"/>
    <w:basedOn w:val="TableNormal"/>
    <w:uiPriority w:val="50"/>
    <w:rsid w:val="00937E8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
    <w:name w:val="Grid Table 5 Dark"/>
    <w:basedOn w:val="TableNormal"/>
    <w:uiPriority w:val="50"/>
    <w:rsid w:val="00937E8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Header">
    <w:name w:val="header"/>
    <w:basedOn w:val="Normal"/>
    <w:link w:val="HeaderChar"/>
    <w:uiPriority w:val="99"/>
    <w:unhideWhenUsed/>
    <w:rsid w:val="00CD233D"/>
    <w:pPr>
      <w:tabs>
        <w:tab w:val="center" w:pos="4680"/>
        <w:tab w:val="right" w:pos="9360"/>
      </w:tabs>
    </w:pPr>
  </w:style>
  <w:style w:type="character" w:customStyle="1" w:styleId="HeaderChar">
    <w:name w:val="Header Char"/>
    <w:basedOn w:val="DefaultParagraphFont"/>
    <w:link w:val="Header"/>
    <w:uiPriority w:val="99"/>
    <w:rsid w:val="00CD233D"/>
  </w:style>
  <w:style w:type="paragraph" w:styleId="Footer">
    <w:name w:val="footer"/>
    <w:basedOn w:val="Normal"/>
    <w:link w:val="FooterChar"/>
    <w:uiPriority w:val="99"/>
    <w:unhideWhenUsed/>
    <w:rsid w:val="00CD233D"/>
    <w:pPr>
      <w:tabs>
        <w:tab w:val="center" w:pos="4680"/>
        <w:tab w:val="right" w:pos="9360"/>
      </w:tabs>
    </w:pPr>
  </w:style>
  <w:style w:type="character" w:customStyle="1" w:styleId="FooterChar">
    <w:name w:val="Footer Char"/>
    <w:basedOn w:val="DefaultParagraphFont"/>
    <w:link w:val="Footer"/>
    <w:uiPriority w:val="99"/>
    <w:rsid w:val="00CD23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12</Pages>
  <Words>3946</Words>
  <Characters>22497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Rodrigo Velez</cp:lastModifiedBy>
  <cp:revision>68</cp:revision>
  <dcterms:created xsi:type="dcterms:W3CDTF">2026-07-04T22:01:00Z</dcterms:created>
  <dcterms:modified xsi:type="dcterms:W3CDTF">2026-07-07T02:27:00Z</dcterms:modified>
</cp:coreProperties>
</file>