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23443A"/>
          <w:sz w:val="120"/>
          <w:szCs w:val="120"/>
        </w:rPr>
        <w:t xml:space="preserve">Δ</w:t>
      </w:r>
    </w:p>
    <w:p>
      <w:pPr>
        <w:spacing w:after="80"/>
      </w:pPr>
      <w:r>
        <w:rPr>
          <w:b/>
          <w:bCs/>
          <w:color w:val="23443A"/>
          <w:sz w:val="80"/>
          <w:szCs w:val="80"/>
        </w:rPr>
        <w:t xml:space="preserve">Despeja</w:t>
      </w:r>
    </w:p>
    <w:p>
      <w:pPr>
        <w:spacing w:after="600"/>
      </w:pPr>
      <w:r>
        <w:rPr>
          <w:color w:val="56606E"/>
          <w:sz w:val="36"/>
          <w:szCs w:val="36"/>
        </w:rPr>
        <w:t xml:space="preserve">Plan de marca y marketing</w:t>
      </w:r>
    </w:p>
    <w:p>
      <w:pPr>
        <w:spacing w:after="120"/>
      </w:pPr>
      <w:r>
        <w:rPr>
          <w:color w:val="56606E"/>
        </w:rPr>
        <w:t xml:space="preserve">Clases particulares y grupales de números y ciencias para secundaria, preuniversitario y universidad, con profesores de Ingeniería de la Pontificia Universidad Católica del Perú.</w:t>
      </w:r>
    </w:p>
    <w:p>
      <w:pPr>
        <w:spacing w:after="120"/>
      </w:pPr>
      <w:r>
        <w:rPr>
          <w:color w:val="56606E"/>
        </w:rPr>
        <w:t xml:space="preserve">Octubre de 2026</w:t>
      </w:r>
    </w:p>
    <w:p>
      <w:r>
        <w:br w:type="page"/>
      </w:r>
    </w:p>
    <w:p>
      <w:pPr>
        <w:pStyle w:val="Heading1"/>
      </w:pPr>
      <w:r>
        <w:t xml:space="preserve">1. Decisiones tomadas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5DDD8" w:sz="4"/>
              <w:left w:val="single" w:color="D5DDD8" w:sz="4"/>
              <w:bottom w:val="single" w:color="D5DDD8" w:sz="4"/>
              <w:right w:val="single" w:color="D5DDD8" w:sz="4"/>
            </w:tcBorders>
            <w:shd w:fill="23443A" w:color="auto" w:val="clear"/>
            <w:tcMar>
              <w:top w:type="dxa" w:w="80"/>
              <w:left w:type="dxa" w:w="120"/>
              <w:bottom w:type="dxa" w:w="80"/>
              <w:right w:type="dxa" w:w="120"/>
            </w:tcMar>
          </w:tcPr>
          <w:p>
            <w:r>
              <w:rPr>
                <w:b/>
                <w:bCs/>
                <w:color w:val="FFFFFF"/>
              </w:rPr>
              <w:t xml:space="preserve">Tema</w:t>
            </w:r>
          </w:p>
        </w:tc>
        <w:tc>
          <w:tcPr>
            <w:tcW w:type="dxa" w:w="6426"/>
            <w:tcBorders>
              <w:top w:val="single" w:color="D5DDD8" w:sz="4"/>
              <w:left w:val="single" w:color="D5DDD8" w:sz="4"/>
              <w:bottom w:val="single" w:color="D5DDD8" w:sz="4"/>
              <w:right w:val="single" w:color="D5DDD8" w:sz="4"/>
            </w:tcBorders>
            <w:shd w:fill="23443A" w:color="auto" w:val="clear"/>
            <w:tcMar>
              <w:top w:type="dxa" w:w="80"/>
              <w:left w:type="dxa" w:w="120"/>
              <w:bottom w:type="dxa" w:w="80"/>
              <w:right w:type="dxa" w:w="120"/>
            </w:tcMar>
          </w:tcPr>
          <w:p>
            <w:r>
              <w:rPr>
                <w:b/>
                <w:bCs/>
                <w:color w:val="FFFFFF"/>
              </w:rPr>
              <w:t xml:space="preserve">Decisión</w:t>
            </w:r>
          </w:p>
        </w:tc>
      </w:tr>
      <w:tr>
        <w:trPr>
          <w:tblHeader w:val="false"/>
        </w:trPr>
        <w:tc>
          <w:tcPr>
            <w:tcW w:type="dxa" w:w="26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Nombre</w:t>
            </w:r>
          </w:p>
        </w:tc>
        <w:tc>
          <w:tcPr>
            <w:tcW w:type="dxa" w:w="6426"/>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Despeja (alternativa: Método 20). Falta confirmar usuario de Instagram y búsqueda en Indecopi.</w:t>
            </w:r>
          </w:p>
        </w:tc>
      </w:tr>
      <w:tr>
        <w:trPr>
          <w:tblHeader w:val="false"/>
        </w:trPr>
        <w:tc>
          <w:tcPr>
            <w:tcW w:type="dxa" w:w="26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A quién le habla</w:t>
            </w:r>
          </w:p>
        </w:tc>
        <w:tc>
          <w:tcPr>
            <w:tcW w:type="dxa" w:w="6426"/>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A los padres de familia: son quienes pagan. Todo en "usted" y hablando de "su hijo(a)".</w:t>
            </w:r>
          </w:p>
        </w:tc>
      </w:tr>
      <w:tr>
        <w:trPr>
          <w:tblHeader w:val="false"/>
        </w:trPr>
        <w:tc>
          <w:tcPr>
            <w:tcW w:type="dxa" w:w="26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Niveles</w:t>
            </w:r>
          </w:p>
        </w:tc>
        <w:tc>
          <w:tcPr>
            <w:tcW w:type="dxa" w:w="6426"/>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Secundaria, preuniversitario y universidad (en colegio solo secundaria).</w:t>
            </w:r>
          </w:p>
        </w:tc>
      </w:tr>
      <w:tr>
        <w:trPr>
          <w:tblHeader w:val="false"/>
        </w:trPr>
        <w:tc>
          <w:tcPr>
            <w:tcW w:type="dxa" w:w="26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Cursos</w:t>
            </w:r>
          </w:p>
        </w:tc>
        <w:tc>
          <w:tcPr>
            <w:tcW w:type="dxa" w:w="6426"/>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Secundaria y pre: Álgebra, Aritmética, Geometría, Trigonometría, Física y Química. Universidad: Cálculo, Física, Química y cursos de Ingeniería.</w:t>
            </w:r>
          </w:p>
        </w:tc>
      </w:tr>
      <w:tr>
        <w:trPr>
          <w:tblHeader w:val="false"/>
        </w:trPr>
        <w:tc>
          <w:tcPr>
            <w:tcW w:type="dxa" w:w="26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Oferta</w:t>
            </w:r>
          </w:p>
        </w:tc>
        <w:tc>
          <w:tcPr>
            <w:tcW w:type="dxa" w:w="6426"/>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Plan mensual con 10 % de descuento y facilidades de pago. Sin clases gratuitas.</w:t>
            </w:r>
          </w:p>
        </w:tc>
      </w:tr>
      <w:tr>
        <w:trPr>
          <w:tblHeader w:val="false"/>
        </w:trPr>
        <w:tc>
          <w:tcPr>
            <w:tcW w:type="dxa" w:w="26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Servicio</w:t>
            </w:r>
          </w:p>
        </w:tc>
        <w:tc>
          <w:tcPr>
            <w:tcW w:type="dxa" w:w="6426"/>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Diagnóstico, plan semanal y reporte mensual de avance para los padres. Grupos de máximo 4 alumnos.</w:t>
            </w:r>
          </w:p>
        </w:tc>
      </w:tr>
      <w:tr>
        <w:trPr>
          <w:tblHeader w:val="false"/>
        </w:trPr>
        <w:tc>
          <w:tcPr>
            <w:tcW w:type="dxa" w:w="26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Respaldo</w:t>
            </w:r>
          </w:p>
        </w:tc>
        <w:tc>
          <w:tcPr>
            <w:tcW w:type="dxa" w:w="6426"/>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Profesores de Ingeniería de la Pontificia Universidad Católica del Perú, sin usar logo ni colores de la universidad.</w:t>
            </w:r>
          </w:p>
        </w:tc>
      </w:tr>
      <w:tr>
        <w:trPr>
          <w:tblHeader w:val="false"/>
        </w:trPr>
        <w:tc>
          <w:tcPr>
            <w:tcW w:type="dxa" w:w="26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Contacto</w:t>
            </w:r>
          </w:p>
        </w:tc>
        <w:tc>
          <w:tcPr>
            <w:tcW w:type="dxa" w:w="6426"/>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WhatsApp +51 961 956 660 (QR con mensaje ya escrito) e Instagram @despeja.clases.</w:t>
            </w:r>
          </w:p>
        </w:tc>
      </w:tr>
      <w:tr>
        <w:trPr>
          <w:tblHeader w:val="false"/>
        </w:trPr>
        <w:tc>
          <w:tcPr>
            <w:tcW w:type="dxa" w:w="26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Diseño elegido</w:t>
            </w:r>
          </w:p>
        </w:tc>
        <w:tc>
          <w:tcPr>
            <w:tcW w:type="dxa" w:w="6426"/>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Tarjeta E "Bloques": logotipo Δ + Despeja sobre amarillo, mensaje para padres sobre verde.</w:t>
            </w:r>
          </w:p>
        </w:tc>
      </w:tr>
      <w:tr>
        <w:trPr>
          <w:tblHeader w:val="false"/>
        </w:trPr>
        <w:tc>
          <w:tcPr>
            <w:tcW w:type="dxa" w:w="26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Herramientas</w:t>
            </w:r>
          </w:p>
        </w:tc>
        <w:tc>
          <w:tcPr>
            <w:tcW w:type="dxa" w:w="6426"/>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PowerPoint y Canva. Adobe descartado.</w:t>
            </w:r>
          </w:p>
        </w:tc>
      </w:tr>
    </w:tbl>
    <w:p>
      <w:pPr>
        <w:pStyle w:val="Heading1"/>
      </w:pPr>
      <w:r>
        <w:t xml:space="preserve">2. Nombre</w:t>
      </w:r>
    </w:p>
    <w:p>
      <w:pPr>
        <w:spacing w:after="120"/>
      </w:pPr>
      <w:r>
        <w:rPr>
          <w:b/>
          <w:bCs/>
        </w:rPr>
        <w:t xml:space="preserve">Despeja </w:t>
      </w:r>
      <w:r>
        <w:t xml:space="preserve">viene de "despejar la x", lo primero que se aprende en álgebra, y también significa quitar dudas. Es un verbo: dice lo que hace la academia. Es corto, se dicta fácil por teléfono y no suena a academia genérica.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D5DDD8" w:sz="4"/>
              <w:left w:val="single" w:color="D5DDD8" w:sz="4"/>
              <w:bottom w:val="single" w:color="D5DDD8" w:sz="4"/>
              <w:right w:val="single" w:color="D5DDD8" w:sz="4"/>
            </w:tcBorders>
            <w:shd w:fill="23443A" w:color="auto" w:val="clear"/>
            <w:tcMar>
              <w:top w:type="dxa" w:w="80"/>
              <w:left w:type="dxa" w:w="120"/>
              <w:bottom w:type="dxa" w:w="80"/>
              <w:right w:type="dxa" w:w="120"/>
            </w:tcMar>
          </w:tcPr>
          <w:p>
            <w:r>
              <w:rPr>
                <w:b/>
                <w:bCs/>
                <w:color w:val="FFFFFF"/>
              </w:rPr>
              <w:t xml:space="preserve">Nombre</w:t>
            </w:r>
          </w:p>
        </w:tc>
        <w:tc>
          <w:tcPr>
            <w:tcW w:type="dxa" w:w="2000"/>
            <w:tcBorders>
              <w:top w:val="single" w:color="D5DDD8" w:sz="4"/>
              <w:left w:val="single" w:color="D5DDD8" w:sz="4"/>
              <w:bottom w:val="single" w:color="D5DDD8" w:sz="4"/>
              <w:right w:val="single" w:color="D5DDD8" w:sz="4"/>
            </w:tcBorders>
            <w:shd w:fill="23443A" w:color="auto" w:val="clear"/>
            <w:tcMar>
              <w:top w:type="dxa" w:w="80"/>
              <w:left w:type="dxa" w:w="120"/>
              <w:bottom w:type="dxa" w:w="80"/>
              <w:right w:type="dxa" w:w="120"/>
            </w:tcMar>
          </w:tcPr>
          <w:p>
            <w:r>
              <w:rPr>
                <w:b/>
                <w:bCs/>
                <w:color w:val="FFFFFF"/>
              </w:rPr>
              <w:t xml:space="preserve">Usuario</w:t>
            </w:r>
          </w:p>
        </w:tc>
        <w:tc>
          <w:tcPr>
            <w:tcW w:type="dxa" w:w="5026"/>
            <w:tcBorders>
              <w:top w:val="single" w:color="D5DDD8" w:sz="4"/>
              <w:left w:val="single" w:color="D5DDD8" w:sz="4"/>
              <w:bottom w:val="single" w:color="D5DDD8" w:sz="4"/>
              <w:right w:val="single" w:color="D5DDD8" w:sz="4"/>
            </w:tcBorders>
            <w:shd w:fill="23443A" w:color="auto" w:val="clear"/>
            <w:tcMar>
              <w:top w:type="dxa" w:w="80"/>
              <w:left w:type="dxa" w:w="120"/>
              <w:bottom w:type="dxa" w:w="80"/>
              <w:right w:type="dxa" w:w="120"/>
            </w:tcMar>
          </w:tcPr>
          <w:p>
            <w:r>
              <w:rPr>
                <w:b/>
                <w:bCs/>
                <w:color w:val="FFFFFF"/>
              </w:rPr>
              <w:t xml:space="preserve">Por qué sí / por qué no</w:t>
            </w:r>
          </w:p>
        </w:tc>
      </w:tr>
      <w:tr>
        <w:trPr>
          <w:tblHeader w:val="false"/>
        </w:trPr>
        <w:tc>
          <w:tcPr>
            <w:tcW w:type="dxa" w:w="20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Despeja (elegido)</w:t>
            </w:r>
          </w:p>
        </w:tc>
        <w:tc>
          <w:tcPr>
            <w:tcW w:type="dxa" w:w="20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@despeja.clases</w:t>
            </w:r>
          </w:p>
        </w:tc>
        <w:tc>
          <w:tcPr>
            <w:tcW w:type="dxa" w:w="5026"/>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Juego de palabras con álgebra y con "quitar dudas". Fácil de recordar.</w:t>
            </w:r>
          </w:p>
        </w:tc>
      </w:tr>
      <w:tr>
        <w:trPr>
          <w:tblHeader w:val="false"/>
        </w:trPr>
        <w:tc>
          <w:tcPr>
            <w:tcW w:type="dxa" w:w="20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Método 20</w:t>
            </w:r>
          </w:p>
        </w:tc>
        <w:tc>
          <w:tcPr>
            <w:tcW w:type="dxa" w:w="20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@metodo20</w:t>
            </w:r>
          </w:p>
        </w:tc>
        <w:tc>
          <w:tcPr>
            <w:tcW w:type="dxa" w:w="5026"/>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El 20 es la nota máxima en Perú. Nombra el resultado y el cómo.</w:t>
            </w:r>
          </w:p>
        </w:tc>
      </w:tr>
      <w:tr>
        <w:trPr>
          <w:tblHeader w:val="false"/>
        </w:trPr>
        <w:tc>
          <w:tcPr>
            <w:tcW w:type="dxa" w:w="20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Milimetrado</w:t>
            </w:r>
          </w:p>
        </w:tc>
        <w:tc>
          <w:tcPr>
            <w:tcW w:type="dxa" w:w="20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@milimetrado.pe</w:t>
            </w:r>
          </w:p>
        </w:tc>
        <w:tc>
          <w:tcPr>
            <w:tcW w:type="dxa" w:w="5026"/>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Suena a ingeniería; más largo y difícil de dictar.</w:t>
            </w:r>
          </w:p>
        </w:tc>
      </w:tr>
      <w:tr>
        <w:trPr>
          <w:tblHeader w:val="false"/>
        </w:trPr>
        <w:tc>
          <w:tcPr>
            <w:tcW w:type="dxa" w:w="20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Ingenio</w:t>
            </w:r>
          </w:p>
        </w:tc>
        <w:tc>
          <w:tcPr>
            <w:tcW w:type="dxa" w:w="20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@ingenio.clases</w:t>
            </w:r>
          </w:p>
        </w:tc>
        <w:tc>
          <w:tcPr>
            <w:tcW w:type="dxa" w:w="5026"/>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Positivo pero muy común; probablemente ya existe.</w:t>
            </w:r>
          </w:p>
        </w:tc>
      </w:tr>
      <w:tr>
        <w:trPr>
          <w:tblHeader w:val="false"/>
        </w:trPr>
        <w:tc>
          <w:tcPr>
            <w:tcW w:type="dxa" w:w="20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Delta</w:t>
            </w:r>
          </w:p>
        </w:tc>
        <w:tc>
          <w:tcPr>
            <w:tcW w:type="dxa" w:w="20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@delta.clases</w:t>
            </w:r>
          </w:p>
        </w:tc>
        <w:tc>
          <w:tcPr>
            <w:tcW w:type="dxa" w:w="5026"/>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Δ = cambio. Muy usado por empresas.</w:t>
            </w:r>
          </w:p>
        </w:tc>
      </w:tr>
    </w:tbl>
    <w:p>
      <w:pPr>
        <w:spacing w:before="120"/>
      </w:pPr>
      <w:r>
        <w:rPr>
          <w:i/>
          <w:iCs/>
          <w:color w:val="56606E"/>
        </w:rPr>
        <w:t xml:space="preserve">Antes de imprimir: revisar que el usuario esté libre en Instagram y buscar el nombre en la base de marcas de Indecopi.</w:t>
      </w:r>
    </w:p>
    <w:p>
      <w:pPr>
        <w:pStyle w:val="Heading1"/>
      </w:pPr>
      <w:r>
        <w:t xml:space="preserve">3. Identidad visual</w:t>
      </w:r>
    </w:p>
    <w:p>
      <w:pPr>
        <w:pStyle w:val="Heading2"/>
      </w:pPr>
      <w:r>
        <w:t xml:space="preserve">Logotipo</w:t>
      </w:r>
    </w:p>
    <w:p>
      <w:pPr>
        <w:spacing w:after="120"/>
      </w:pPr>
      <w:r>
        <w:t xml:space="preserve">La letra griega Δ (delta, que en ciencias significa "cambio") sobre el nombre Despeja, en verde sobre amarillo. Debajo, el lema "clases de números y ciencias". Usar el mismo logotipo en tarjeta, foto de perfil de Instagram y WhatsApp.</w:t>
      </w:r>
    </w:p>
    <w:p>
      <w:pPr>
        <w:pStyle w:val="Heading2"/>
      </w:pPr>
      <w:r>
        <w:t xml:space="preserve">Colores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3826"/>
      </w:tblGrid>
      <w:tr>
        <w:trPr>
          <w:tblHeader/>
        </w:trPr>
        <w:tc>
          <w:tcPr>
            <w:tcW w:type="dxa" w:w="1400"/>
            <w:tcBorders>
              <w:top w:val="single" w:color="D5DDD8" w:sz="4"/>
              <w:left w:val="single" w:color="D5DDD8" w:sz="4"/>
              <w:bottom w:val="single" w:color="D5DDD8" w:sz="4"/>
              <w:right w:val="single" w:color="D5DDD8" w:sz="4"/>
            </w:tcBorders>
            <w:shd w:fill="23443A" w:color="auto" w:val="clear"/>
            <w:tcMar>
              <w:top w:type="dxa" w:w="80"/>
              <w:left w:type="dxa" w:w="120"/>
              <w:bottom w:type="dxa" w:w="80"/>
              <w:right w:type="dxa" w:w="120"/>
            </w:tcMar>
          </w:tcPr>
          <w:p>
            <w:r>
              <w:rPr>
                <w:b/>
                <w:bCs/>
                <w:color w:val="FFFFFF"/>
              </w:rPr>
              <w:t xml:space="preserve">Muestra</w:t>
            </w:r>
          </w:p>
        </w:tc>
        <w:tc>
          <w:tcPr>
            <w:tcW w:type="dxa" w:w="2200"/>
            <w:tcBorders>
              <w:top w:val="single" w:color="D5DDD8" w:sz="4"/>
              <w:left w:val="single" w:color="D5DDD8" w:sz="4"/>
              <w:bottom w:val="single" w:color="D5DDD8" w:sz="4"/>
              <w:right w:val="single" w:color="D5DDD8" w:sz="4"/>
            </w:tcBorders>
            <w:shd w:fill="23443A" w:color="auto" w:val="clear"/>
            <w:tcMar>
              <w:top w:type="dxa" w:w="80"/>
              <w:left w:type="dxa" w:w="120"/>
              <w:bottom w:type="dxa" w:w="80"/>
              <w:right w:type="dxa" w:w="120"/>
            </w:tcMar>
          </w:tcPr>
          <w:p>
            <w:r>
              <w:rPr>
                <w:b/>
                <w:bCs/>
                <w:color w:val="FFFFFF"/>
              </w:rPr>
              <w:t xml:space="preserve">Nombre</w:t>
            </w:r>
          </w:p>
        </w:tc>
        <w:tc>
          <w:tcPr>
            <w:tcW w:type="dxa" w:w="1600"/>
            <w:tcBorders>
              <w:top w:val="single" w:color="D5DDD8" w:sz="4"/>
              <w:left w:val="single" w:color="D5DDD8" w:sz="4"/>
              <w:bottom w:val="single" w:color="D5DDD8" w:sz="4"/>
              <w:right w:val="single" w:color="D5DDD8" w:sz="4"/>
            </w:tcBorders>
            <w:shd w:fill="23443A" w:color="auto" w:val="clear"/>
            <w:tcMar>
              <w:top w:type="dxa" w:w="80"/>
              <w:left w:type="dxa" w:w="120"/>
              <w:bottom w:type="dxa" w:w="80"/>
              <w:right w:type="dxa" w:w="120"/>
            </w:tcMar>
          </w:tcPr>
          <w:p>
            <w:r>
              <w:rPr>
                <w:b/>
                <w:bCs/>
                <w:color w:val="FFFFFF"/>
              </w:rPr>
              <w:t xml:space="preserve">Código</w:t>
            </w:r>
          </w:p>
        </w:tc>
        <w:tc>
          <w:tcPr>
            <w:tcW w:type="dxa" w:w="3826"/>
            <w:tcBorders>
              <w:top w:val="single" w:color="D5DDD8" w:sz="4"/>
              <w:left w:val="single" w:color="D5DDD8" w:sz="4"/>
              <w:bottom w:val="single" w:color="D5DDD8" w:sz="4"/>
              <w:right w:val="single" w:color="D5DDD8" w:sz="4"/>
            </w:tcBorders>
            <w:shd w:fill="23443A" w:color="auto" w:val="clear"/>
            <w:tcMar>
              <w:top w:type="dxa" w:w="80"/>
              <w:left w:type="dxa" w:w="120"/>
              <w:bottom w:type="dxa" w:w="80"/>
              <w:right w:type="dxa" w:w="120"/>
            </w:tcMar>
          </w:tcPr>
          <w:p>
            <w:r>
              <w:rPr>
                <w:b/>
                <w:bCs/>
                <w:color w:val="FFFFFF"/>
              </w:rPr>
              <w:t xml:space="preserve">Uso</w:t>
            </w:r>
          </w:p>
        </w:tc>
      </w:tr>
      <w:tr>
        <w:tc>
          <w:tcPr>
            <w:tcW w:type="dxa" w:w="1400"/>
            <w:tcBorders>
              <w:top w:val="single" w:color="D5DDD8" w:sz="4"/>
              <w:left w:val="single" w:color="D5DDD8" w:sz="4"/>
              <w:bottom w:val="single" w:color="D5DDD8" w:sz="4"/>
              <w:right w:val="single" w:color="D5DDD8" w:sz="4"/>
            </w:tcBorders>
            <w:shd w:fill="23443A" w:color="auto" w:val="clear"/>
            <w:tcMar>
              <w:top w:type="dxa" w:w="80"/>
              <w:left w:type="dxa" w:w="120"/>
              <w:bottom w:type="dxa" w:w="80"/>
              <w:right w:type="dxa" w:w="120"/>
            </w:tcMar>
          </w:tcPr>
          <w:p>
            <w:r>
              <w:rPr>
                <w:b w:val="false"/>
                <w:bCs w:val="false"/>
              </w:rPr>
              <w:t xml:space="preserve"/>
            </w:r>
          </w:p>
        </w:tc>
        <w:tc>
          <w:tcPr>
            <w:tcW w:type="dxa" w:w="22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Verde pizarra</w:t>
            </w:r>
          </w:p>
        </w:tc>
        <w:tc>
          <w:tcPr>
            <w:tcW w:type="dxa" w:w="16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#23443A</w:t>
            </w:r>
          </w:p>
        </w:tc>
        <w:tc>
          <w:tcPr>
            <w:tcW w:type="dxa" w:w="3826"/>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Principal: fondos, logotipo, titulares</w:t>
            </w:r>
          </w:p>
        </w:tc>
      </w:tr>
      <w:tr>
        <w:tc>
          <w:tcPr>
            <w:tcW w:type="dxa" w:w="1400"/>
            <w:tcBorders>
              <w:top w:val="single" w:color="D5DDD8" w:sz="4"/>
              <w:left w:val="single" w:color="D5DDD8" w:sz="4"/>
              <w:bottom w:val="single" w:color="D5DDD8" w:sz="4"/>
              <w:right w:val="single" w:color="D5DDD8" w:sz="4"/>
            </w:tcBorders>
            <w:shd w:fill="F3D34A" w:color="auto" w:val="clear"/>
            <w:tcMar>
              <w:top w:type="dxa" w:w="80"/>
              <w:left w:type="dxa" w:w="120"/>
              <w:bottom w:type="dxa" w:w="80"/>
              <w:right w:type="dxa" w:w="120"/>
            </w:tcMar>
          </w:tcPr>
          <w:p>
            <w:r>
              <w:rPr>
                <w:b w:val="false"/>
                <w:bCs w:val="false"/>
              </w:rPr>
              <w:t xml:space="preserve"/>
            </w:r>
          </w:p>
        </w:tc>
        <w:tc>
          <w:tcPr>
            <w:tcW w:type="dxa" w:w="22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Amarillo tiza</w:t>
            </w:r>
          </w:p>
        </w:tc>
        <w:tc>
          <w:tcPr>
            <w:tcW w:type="dxa" w:w="16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#F3D34A</w:t>
            </w:r>
          </w:p>
        </w:tc>
        <w:tc>
          <w:tcPr>
            <w:tcW w:type="dxa" w:w="3826"/>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Acento: bloque del logo, ofertas</w:t>
            </w:r>
          </w:p>
        </w:tc>
      </w:tr>
      <w:tr>
        <w:tc>
          <w:tcPr>
            <w:tcW w:type="dxa" w:w="1400"/>
            <w:tcBorders>
              <w:top w:val="single" w:color="D5DDD8" w:sz="4"/>
              <w:left w:val="single" w:color="D5DDD8" w:sz="4"/>
              <w:bottom w:val="single" w:color="D5DDD8" w:sz="4"/>
              <w:right w:val="single" w:color="D5DDD8" w:sz="4"/>
            </w:tcBorders>
            <w:shd w:fill="FFFFFF" w:color="auto" w:val="clear"/>
            <w:tcMar>
              <w:top w:type="dxa" w:w="80"/>
              <w:left w:type="dxa" w:w="120"/>
              <w:bottom w:type="dxa" w:w="80"/>
              <w:right w:type="dxa" w:w="120"/>
            </w:tcMar>
          </w:tcPr>
          <w:p>
            <w:r>
              <w:rPr>
                <w:b w:val="false"/>
                <w:bCs w:val="false"/>
              </w:rPr>
              <w:t xml:space="preserve"/>
            </w:r>
          </w:p>
        </w:tc>
        <w:tc>
          <w:tcPr>
            <w:tcW w:type="dxa" w:w="22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Blanco</w:t>
            </w:r>
          </w:p>
        </w:tc>
        <w:tc>
          <w:tcPr>
            <w:tcW w:type="dxa" w:w="16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#FFFFFF</w:t>
            </w:r>
          </w:p>
        </w:tc>
        <w:tc>
          <w:tcPr>
            <w:tcW w:type="dxa" w:w="3826"/>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Fondo del reverso y textos sobre verde</w:t>
            </w:r>
          </w:p>
        </w:tc>
      </w:tr>
      <w:tr>
        <w:tc>
          <w:tcPr>
            <w:tcW w:type="dxa" w:w="1400"/>
            <w:tcBorders>
              <w:top w:val="single" w:color="D5DDD8" w:sz="4"/>
              <w:left w:val="single" w:color="D5DDD8" w:sz="4"/>
              <w:bottom w:val="single" w:color="D5DDD8" w:sz="4"/>
              <w:right w:val="single" w:color="D5DDD8" w:sz="4"/>
            </w:tcBorders>
            <w:shd w:fill="1B2430" w:color="auto" w:val="clear"/>
            <w:tcMar>
              <w:top w:type="dxa" w:w="80"/>
              <w:left w:type="dxa" w:w="120"/>
              <w:bottom w:type="dxa" w:w="80"/>
              <w:right w:type="dxa" w:w="120"/>
            </w:tcMar>
          </w:tcPr>
          <w:p>
            <w:r>
              <w:rPr>
                <w:b w:val="false"/>
                <w:bCs w:val="false"/>
              </w:rPr>
              <w:t xml:space="preserve"/>
            </w:r>
          </w:p>
        </w:tc>
        <w:tc>
          <w:tcPr>
            <w:tcW w:type="dxa" w:w="22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Grafito</w:t>
            </w:r>
          </w:p>
        </w:tc>
        <w:tc>
          <w:tcPr>
            <w:tcW w:type="dxa" w:w="16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#1B2430</w:t>
            </w:r>
          </w:p>
        </w:tc>
        <w:tc>
          <w:tcPr>
            <w:tcW w:type="dxa" w:w="3826"/>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Texto principal sobre fondo claro</w:t>
            </w:r>
          </w:p>
        </w:tc>
      </w:tr>
      <w:tr>
        <w:tc>
          <w:tcPr>
            <w:tcW w:type="dxa" w:w="1400"/>
            <w:tcBorders>
              <w:top w:val="single" w:color="D5DDD8" w:sz="4"/>
              <w:left w:val="single" w:color="D5DDD8" w:sz="4"/>
              <w:bottom w:val="single" w:color="D5DDD8" w:sz="4"/>
              <w:right w:val="single" w:color="D5DDD8" w:sz="4"/>
            </w:tcBorders>
            <w:shd w:fill="56606E" w:color="auto" w:val="clear"/>
            <w:tcMar>
              <w:top w:type="dxa" w:w="80"/>
              <w:left w:type="dxa" w:w="120"/>
              <w:bottom w:type="dxa" w:w="80"/>
              <w:right w:type="dxa" w:w="120"/>
            </w:tcMar>
          </w:tcPr>
          <w:p>
            <w:r>
              <w:rPr>
                <w:b w:val="false"/>
                <w:bCs w:val="false"/>
              </w:rPr>
              <w:t xml:space="preserve"/>
            </w:r>
          </w:p>
        </w:tc>
        <w:tc>
          <w:tcPr>
            <w:tcW w:type="dxa" w:w="22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Gris</w:t>
            </w:r>
          </w:p>
        </w:tc>
        <w:tc>
          <w:tcPr>
            <w:tcW w:type="dxa" w:w="16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#56606E</w:t>
            </w:r>
          </w:p>
        </w:tc>
        <w:tc>
          <w:tcPr>
            <w:tcW w:type="dxa" w:w="3826"/>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Textos secundarios</w:t>
            </w:r>
          </w:p>
        </w:tc>
      </w:tr>
      <w:tr>
        <w:tc>
          <w:tcPr>
            <w:tcW w:type="dxa" w:w="1400"/>
            <w:tcBorders>
              <w:top w:val="single" w:color="D5DDD8" w:sz="4"/>
              <w:left w:val="single" w:color="D5DDD8" w:sz="4"/>
              <w:bottom w:val="single" w:color="D5DDD8" w:sz="4"/>
              <w:right w:val="single" w:color="D5DDD8" w:sz="4"/>
            </w:tcBorders>
            <w:shd w:fill="CF2338" w:color="auto" w:val="clear"/>
            <w:tcMar>
              <w:top w:type="dxa" w:w="80"/>
              <w:left w:type="dxa" w:w="120"/>
              <w:bottom w:type="dxa" w:w="80"/>
              <w:right w:type="dxa" w:w="120"/>
            </w:tcMar>
          </w:tcPr>
          <w:p>
            <w:r>
              <w:rPr>
                <w:b w:val="false"/>
                <w:bCs w:val="false"/>
              </w:rPr>
              <w:t xml:space="preserve"/>
            </w:r>
          </w:p>
        </w:tc>
        <w:tc>
          <w:tcPr>
            <w:tcW w:type="dxa" w:w="22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Rojo</w:t>
            </w:r>
          </w:p>
        </w:tc>
        <w:tc>
          <w:tcPr>
            <w:tcW w:type="dxa" w:w="16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#CF2338</w:t>
            </w:r>
          </w:p>
        </w:tc>
        <w:tc>
          <w:tcPr>
            <w:tcW w:type="dxa" w:w="3826"/>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Solo para avisos puntuales (cupos)</w:t>
            </w:r>
          </w:p>
        </w:tc>
      </w:tr>
    </w:tbl>
    <w:p>
      <w:pPr>
        <w:pStyle w:val="Heading2"/>
      </w:pPr>
      <w:r>
        <w:t xml:space="preserve">Tipografías</w:t>
      </w:r>
    </w:p>
    <w:p>
      <w:pPr>
        <w:pStyle w:val="ListParagraph"/>
        <w:numPr>
          <w:ilvl w:val="0"/>
          <w:numId w:val="2"/>
        </w:numPr>
        <w:spacing w:after="60"/>
      </w:pPr>
      <w:r>
        <w:rPr>
          <w:b/>
          <w:bCs/>
        </w:rPr>
        <w:t xml:space="preserve">Barlow Condensed (negrita): </w:t>
      </w:r>
      <w:r>
        <w:t xml:space="preserve">titulares y logotipo.</w:t>
      </w:r>
    </w:p>
    <w:p>
      <w:pPr>
        <w:pStyle w:val="ListParagraph"/>
        <w:numPr>
          <w:ilvl w:val="0"/>
          <w:numId w:val="2"/>
        </w:numPr>
        <w:spacing w:after="60"/>
      </w:pPr>
      <w:r>
        <w:rPr>
          <w:b/>
          <w:bCs/>
        </w:rPr>
        <w:t xml:space="preserve">Barlow: </w:t>
      </w:r>
      <w:r>
        <w:t xml:space="preserve">textos y datos de contacto.</w:t>
      </w:r>
    </w:p>
    <w:p>
      <w:pPr>
        <w:spacing w:after="120"/>
      </w:pPr>
      <w:r>
        <w:t xml:space="preserve">Ambas son gratuitas en Google Fonts y están disponibles en Canva.</w:t>
      </w:r>
    </w:p>
    <w:p>
      <w:r>
        <w:br w:type="page"/>
      </w:r>
    </w:p>
    <w:p>
      <w:pPr>
        <w:pStyle w:val="Heading1"/>
      </w:pPr>
      <w:r>
        <w:t xml:space="preserve">4. Tarjeta de presentación</w:t>
      </w:r>
    </w:p>
    <w:p>
      <w:pPr>
        <w:spacing w:after="120"/>
      </w:pPr>
      <w:r>
        <w:t xml:space="preserve">Tamaño final 9 × 5,5 cm, con 3 mm de sangrado por lado para imprenta (9,6 × 6,1 cm en el archivo).</w:t>
      </w:r>
    </w:p>
    <w:p>
      <w:pPr>
        <w:jc w:val="center"/>
      </w:pPr>
      <w:r>
        <w:drawing>
          <wp:inline distT="0" distB="0" distL="0" distR="0">
            <wp:extent cx="432435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24350" cy="2743200"/>
                    </a:xfrm>
                    <a:prstGeom prst="rect">
                      <a:avLst/>
                    </a:prstGeom>
                  </pic:spPr>
                </pic:pic>
              </a:graphicData>
            </a:graphic>
          </wp:inline>
        </w:drawing>
      </w:r>
    </w:p>
    <w:p>
      <w:pPr>
        <w:spacing w:after="160"/>
        <w:jc w:val="center"/>
      </w:pPr>
      <w:r>
        <w:rPr>
          <w:color w:val="56606E"/>
        </w:rPr>
        <w:t xml:space="preserve">Frente</w:t>
      </w:r>
    </w:p>
    <w:p>
      <w:pPr>
        <w:jc w:val="center"/>
      </w:pPr>
      <w:r>
        <w:drawing>
          <wp:inline distT="0" distB="0" distL="0" distR="0">
            <wp:extent cx="432435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24350" cy="2743200"/>
                    </a:xfrm>
                    <a:prstGeom prst="rect">
                      <a:avLst/>
                    </a:prstGeom>
                  </pic:spPr>
                </pic:pic>
              </a:graphicData>
            </a:graphic>
          </wp:inline>
        </w:drawing>
      </w:r>
    </w:p>
    <w:p>
      <w:pPr>
        <w:spacing w:after="160"/>
        <w:jc w:val="center"/>
      </w:pPr>
      <w:r>
        <w:rPr>
          <w:color w:val="56606E"/>
        </w:rPr>
        <w:t xml:space="preserve">Reverso</w:t>
      </w:r>
    </w:p>
    <w:p>
      <w:pPr>
        <w:pStyle w:val="Heading2"/>
      </w:pPr>
      <w:r>
        <w:t xml:space="preserve">Archivos</w:t>
      </w:r>
    </w:p>
    <w:p>
      <w:pPr>
        <w:pStyle w:val="ListParagraph"/>
        <w:numPr>
          <w:ilvl w:val="0"/>
          <w:numId w:val="2"/>
        </w:numPr>
        <w:spacing w:after="60"/>
      </w:pPr>
      <w:r>
        <w:rPr>
          <w:b/>
          <w:bCs/>
        </w:rPr>
        <w:t xml:space="preserve">Canva (editable): </w:t>
      </w:r>
      <w:r>
        <w:t xml:space="preserve">"Despeja – Tarjeta de presentación (final)" en su cuenta.</w:t>
      </w:r>
    </w:p>
    <w:p>
      <w:pPr>
        <w:pStyle w:val="ListParagraph"/>
        <w:numPr>
          <w:ilvl w:val="0"/>
          <w:numId w:val="2"/>
        </w:numPr>
        <w:spacing w:after="60"/>
      </w:pPr>
      <w:r>
        <w:rPr>
          <w:b/>
          <w:bCs/>
        </w:rPr>
        <w:t xml:space="preserve">PowerPoint (editable): </w:t>
      </w:r>
      <w:r>
        <w:t xml:space="preserve">tarjeta-clases/propuesta-E/tarjeta-despeja.pptx</w:t>
      </w:r>
    </w:p>
    <w:p>
      <w:pPr>
        <w:pStyle w:val="ListParagraph"/>
        <w:numPr>
          <w:ilvl w:val="0"/>
          <w:numId w:val="2"/>
        </w:numPr>
        <w:spacing w:after="60"/>
      </w:pPr>
      <w:r>
        <w:rPr>
          <w:b/>
          <w:bCs/>
        </w:rPr>
        <w:t xml:space="preserve">PDF para imprenta: </w:t>
      </w:r>
      <w:r>
        <w:t xml:space="preserve">tarjeta-clases/propuesta-E/tarjeta-despeja.pdf</w:t>
      </w:r>
    </w:p>
    <w:p>
      <w:pPr>
        <w:pStyle w:val="Heading1"/>
      </w:pPr>
      <w:r>
        <w:t xml:space="preserve">5. Mensaje y tono</w:t>
      </w:r>
    </w:p>
    <w:p>
      <w:pPr>
        <w:pStyle w:val="ListParagraph"/>
        <w:numPr>
          <w:ilvl w:val="0"/>
          <w:numId w:val="2"/>
        </w:numPr>
        <w:spacing w:after="60"/>
      </w:pPr>
      <w:r>
        <w:t xml:space="preserve">Se le habla al padre o madre de familia, de "usted", sobre "su hijo(a)".</w:t>
      </w:r>
    </w:p>
    <w:p>
      <w:pPr>
        <w:pStyle w:val="ListParagraph"/>
        <w:numPr>
          <w:ilvl w:val="0"/>
          <w:numId w:val="2"/>
        </w:numPr>
        <w:spacing w:after="60"/>
      </w:pPr>
      <w:r>
        <w:t xml:space="preserve">Titular: "La nota de su hijo(a) también puede cambiar." Promete un cambio posible, no una nota garantizada.</w:t>
      </w:r>
    </w:p>
    <w:p>
      <w:pPr>
        <w:pStyle w:val="ListParagraph"/>
        <w:numPr>
          <w:ilvl w:val="0"/>
          <w:numId w:val="2"/>
        </w:numPr>
        <w:spacing w:after="60"/>
      </w:pPr>
      <w:r>
        <w:t xml:space="preserve">El método en tres pasos: Diagnóstico (ubicamos dónde se traba), Plan semanal (metas hasta su examen) y Reporte a padres (cada mes, su avance).</w:t>
      </w:r>
    </w:p>
    <w:p>
      <w:pPr>
        <w:pStyle w:val="ListParagraph"/>
        <w:numPr>
          <w:ilvl w:val="0"/>
          <w:numId w:val="2"/>
        </w:numPr>
        <w:spacing w:after="60"/>
      </w:pPr>
      <w:r>
        <w:t xml:space="preserve">Evitar promesas como "aprobación garantizada" o "resultados asegurados".</w:t>
      </w:r>
    </w:p>
    <w:p>
      <w:pPr>
        <w:pStyle w:val="Heading1"/>
      </w:pPr>
      <w:r>
        <w:t xml:space="preserve">6. Oferta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5DDD8" w:sz="4"/>
              <w:left w:val="single" w:color="D5DDD8" w:sz="4"/>
              <w:bottom w:val="single" w:color="D5DDD8" w:sz="4"/>
              <w:right w:val="single" w:color="D5DDD8" w:sz="4"/>
            </w:tcBorders>
            <w:shd w:fill="23443A" w:color="auto" w:val="clear"/>
            <w:tcMar>
              <w:top w:type="dxa" w:w="80"/>
              <w:left w:type="dxa" w:w="120"/>
              <w:bottom w:type="dxa" w:w="80"/>
              <w:right w:type="dxa" w:w="120"/>
            </w:tcMar>
          </w:tcPr>
          <w:p>
            <w:r>
              <w:rPr>
                <w:b/>
                <w:bCs/>
                <w:color w:val="FFFFFF"/>
              </w:rPr>
              <w:t xml:space="preserve">Elemento</w:t>
            </w:r>
          </w:p>
        </w:tc>
        <w:tc>
          <w:tcPr>
            <w:tcW w:type="dxa" w:w="6426"/>
            <w:tcBorders>
              <w:top w:val="single" w:color="D5DDD8" w:sz="4"/>
              <w:left w:val="single" w:color="D5DDD8" w:sz="4"/>
              <w:bottom w:val="single" w:color="D5DDD8" w:sz="4"/>
              <w:right w:val="single" w:color="D5DDD8" w:sz="4"/>
            </w:tcBorders>
            <w:shd w:fill="23443A" w:color="auto" w:val="clear"/>
            <w:tcMar>
              <w:top w:type="dxa" w:w="80"/>
              <w:left w:type="dxa" w:w="120"/>
              <w:bottom w:type="dxa" w:w="80"/>
              <w:right w:type="dxa" w:w="120"/>
            </w:tcMar>
          </w:tcPr>
          <w:p>
            <w:r>
              <w:rPr>
                <w:b/>
                <w:bCs/>
                <w:color w:val="FFFFFF"/>
              </w:rPr>
              <w:t xml:space="preserve">Detalle</w:t>
            </w:r>
          </w:p>
        </w:tc>
      </w:tr>
      <w:tr>
        <w:trPr>
          <w:tblHeader w:val="false"/>
        </w:trPr>
        <w:tc>
          <w:tcPr>
            <w:tcW w:type="dxa" w:w="26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Clase suelta</w:t>
            </w:r>
          </w:p>
        </w:tc>
        <w:tc>
          <w:tcPr>
            <w:tcW w:type="dxa" w:w="6426"/>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Precio normal. Sirve como referencia para que el plan se vea conveniente.</w:t>
            </w:r>
          </w:p>
        </w:tc>
      </w:tr>
      <w:tr>
        <w:trPr>
          <w:tblHeader w:val="false"/>
        </w:trPr>
        <w:tc>
          <w:tcPr>
            <w:tcW w:type="dxa" w:w="26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Plan mensual</w:t>
            </w:r>
          </w:p>
        </w:tc>
        <w:tc>
          <w:tcPr>
            <w:tcW w:type="dxa" w:w="6426"/>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10 % de descuento sobre el precio de las clases sueltas.</w:t>
            </w:r>
          </w:p>
        </w:tc>
      </w:tr>
      <w:tr>
        <w:trPr>
          <w:tblHeader w:val="false"/>
        </w:trPr>
        <w:tc>
          <w:tcPr>
            <w:tcW w:type="dxa" w:w="26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Facilidades de pago</w:t>
            </w:r>
          </w:p>
        </w:tc>
        <w:tc>
          <w:tcPr>
            <w:tcW w:type="dxa" w:w="6426"/>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Por ejemplo, pago en dos partes o por Yape/Plin. Definir las condiciones exactas.</w:t>
            </w:r>
          </w:p>
        </w:tc>
      </w:tr>
      <w:tr>
        <w:trPr>
          <w:tblHeader w:val="false"/>
        </w:trPr>
        <w:tc>
          <w:tcPr>
            <w:tcW w:type="dxa" w:w="26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Grupos</w:t>
            </w:r>
          </w:p>
        </w:tc>
        <w:tc>
          <w:tcPr>
            <w:tcW w:type="dxa" w:w="6426"/>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Máximo 4 alumnos: es una escasez real y un argumento de calidad.</w:t>
            </w:r>
          </w:p>
        </w:tc>
      </w:tr>
      <w:tr>
        <w:trPr>
          <w:tblHeader w:val="false"/>
        </w:trPr>
        <w:tc>
          <w:tcPr>
            <w:tcW w:type="dxa" w:w="26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Referidos (sugerencia)</w:t>
            </w:r>
          </w:p>
        </w:tc>
        <w:tc>
          <w:tcPr>
            <w:tcW w:type="dxa" w:w="6426"/>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Entregar 3 tarjetas a cada alumno inscrito. Definir si habrá un beneficio por recomendar.</w:t>
            </w:r>
          </w:p>
        </w:tc>
      </w:tr>
    </w:tbl>
    <w:p>
      <w:pPr>
        <w:pStyle w:val="Heading1"/>
      </w:pPr>
      <w:r>
        <w:t xml:space="preserve">7. Por qué la tarjeta funciona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5DDD8" w:sz="4"/>
              <w:left w:val="single" w:color="D5DDD8" w:sz="4"/>
              <w:bottom w:val="single" w:color="D5DDD8" w:sz="4"/>
              <w:right w:val="single" w:color="D5DDD8" w:sz="4"/>
            </w:tcBorders>
            <w:shd w:fill="23443A" w:color="auto" w:val="clear"/>
            <w:tcMar>
              <w:top w:type="dxa" w:w="80"/>
              <w:left w:type="dxa" w:w="120"/>
              <w:bottom w:type="dxa" w:w="80"/>
              <w:right w:type="dxa" w:w="120"/>
            </w:tcMar>
          </w:tcPr>
          <w:p>
            <w:r>
              <w:rPr>
                <w:b/>
                <w:bCs/>
                <w:color w:val="FFFFFF"/>
              </w:rPr>
              <w:t xml:space="preserve">Principio</w:t>
            </w:r>
          </w:p>
        </w:tc>
        <w:tc>
          <w:tcPr>
            <w:tcW w:type="dxa" w:w="6426"/>
            <w:tcBorders>
              <w:top w:val="single" w:color="D5DDD8" w:sz="4"/>
              <w:left w:val="single" w:color="D5DDD8" w:sz="4"/>
              <w:bottom w:val="single" w:color="D5DDD8" w:sz="4"/>
              <w:right w:val="single" w:color="D5DDD8" w:sz="4"/>
            </w:tcBorders>
            <w:shd w:fill="23443A" w:color="auto" w:val="clear"/>
            <w:tcMar>
              <w:top w:type="dxa" w:w="80"/>
              <w:left w:type="dxa" w:w="120"/>
              <w:bottom w:type="dxa" w:w="80"/>
              <w:right w:type="dxa" w:w="120"/>
            </w:tcMar>
          </w:tcPr>
          <w:p>
            <w:r>
              <w:rPr>
                <w:b/>
                <w:bCs/>
                <w:color w:val="FFFFFF"/>
              </w:rPr>
              <w:t xml:space="preserve">Cómo se aplica</w:t>
            </w:r>
          </w:p>
        </w:tc>
      </w:tr>
      <w:tr>
        <w:trPr>
          <w:tblHeader w:val="false"/>
        </w:trPr>
        <w:tc>
          <w:tcPr>
            <w:tcW w:type="dxa" w:w="26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Autoridad</w:t>
            </w:r>
          </w:p>
        </w:tc>
        <w:tc>
          <w:tcPr>
            <w:tcW w:type="dxa" w:w="6426"/>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El nombre completo de la Pontificia Universidad Católica del Perú da confianza inmediata.</w:t>
            </w:r>
          </w:p>
        </w:tc>
      </w:tr>
      <w:tr>
        <w:trPr>
          <w:tblHeader w:val="false"/>
        </w:trPr>
        <w:tc>
          <w:tcPr>
            <w:tcW w:type="dxa" w:w="26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Aversión a la pérdida</w:t>
            </w:r>
          </w:p>
        </w:tc>
        <w:tc>
          <w:tcPr>
            <w:tcW w:type="dxa" w:w="6426"/>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La palabra "nota" toca la preocupación del padre por el rendimiento de su hijo.</w:t>
            </w:r>
          </w:p>
        </w:tc>
      </w:tr>
      <w:tr>
        <w:trPr>
          <w:tblHeader w:val="false"/>
        </w:trPr>
        <w:tc>
          <w:tcPr>
            <w:tcW w:type="dxa" w:w="26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Esperanza concreta</w:t>
            </w:r>
          </w:p>
        </w:tc>
        <w:tc>
          <w:tcPr>
            <w:tcW w:type="dxa" w:w="6426"/>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"También puede cambiar" y la Δ (cambio) muestran que hay salida.</w:t>
            </w:r>
          </w:p>
        </w:tc>
      </w:tr>
      <w:tr>
        <w:trPr>
          <w:tblHeader w:val="false"/>
        </w:trPr>
        <w:tc>
          <w:tcPr>
            <w:tcW w:type="dxa" w:w="26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Anclaje</w:t>
            </w:r>
          </w:p>
        </w:tc>
        <w:tc>
          <w:tcPr>
            <w:tcW w:type="dxa" w:w="6426"/>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El precio de la clase suelta hace que el plan mensual se sienta conveniente.</w:t>
            </w:r>
          </w:p>
        </w:tc>
      </w:tr>
      <w:tr>
        <w:trPr>
          <w:tblHeader w:val="false"/>
        </w:trPr>
        <w:tc>
          <w:tcPr>
            <w:tcW w:type="dxa" w:w="26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Compromiso</w:t>
            </w:r>
          </w:p>
        </w:tc>
        <w:tc>
          <w:tcPr>
            <w:tcW w:type="dxa" w:w="6426"/>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Quien elige un plan mensual se vuelve constante y cumple más.</w:t>
            </w:r>
          </w:p>
        </w:tc>
      </w:tr>
      <w:tr>
        <w:trPr>
          <w:tblHeader w:val="false"/>
        </w:trPr>
        <w:tc>
          <w:tcPr>
            <w:tcW w:type="dxa" w:w="26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Menos fricción</w:t>
            </w:r>
          </w:p>
        </w:tc>
        <w:tc>
          <w:tcPr>
            <w:tcW w:type="dxa" w:w="6426"/>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El QR abre WhatsApp con el mensaje ya escrito.</w:t>
            </w:r>
          </w:p>
        </w:tc>
      </w:tr>
      <w:tr>
        <w:trPr>
          <w:tblHeader w:val="false"/>
        </w:trPr>
        <w:tc>
          <w:tcPr>
            <w:tcW w:type="dxa" w:w="2600"/>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Exposición repetida</w:t>
            </w:r>
          </w:p>
        </w:tc>
        <w:tc>
          <w:tcPr>
            <w:tcW w:type="dxa" w:w="6426"/>
            <w:tcBorders>
              <w:top w:val="single" w:color="D5DDD8" w:sz="4"/>
              <w:left w:val="single" w:color="D5DDD8" w:sz="4"/>
              <w:bottom w:val="single" w:color="D5DDD8" w:sz="4"/>
              <w:right w:val="single" w:color="D5DDD8" w:sz="4"/>
            </w:tcBorders>
            <w:tcMar>
              <w:top w:type="dxa" w:w="80"/>
              <w:left w:type="dxa" w:w="120"/>
              <w:bottom w:type="dxa" w:w="80"/>
              <w:right w:type="dxa" w:w="120"/>
            </w:tcMar>
          </w:tcPr>
          <w:p>
            <w:r>
              <w:rPr>
                <w:b w:val="false"/>
                <w:bCs w:val="false"/>
              </w:rPr>
              <w:t xml:space="preserve">Mismo logotipo y colores en tarjeta, Instagram y estados de WhatsApp.</w:t>
            </w:r>
          </w:p>
        </w:tc>
      </w:tr>
    </w:tbl>
    <w:p>
      <w:pPr>
        <w:pStyle w:val="Heading1"/>
      </w:pPr>
      <w:r>
        <w:t xml:space="preserve">8. Plan de marketing</w:t>
      </w:r>
    </w:p>
    <w:p>
      <w:pPr>
        <w:pStyle w:val="Heading2"/>
      </w:pPr>
      <w:r>
        <w:t xml:space="preserve">Instagram (@despeja.clases)</w:t>
      </w:r>
    </w:p>
    <w:p>
      <w:pPr>
        <w:spacing w:after="120"/>
      </w:pPr>
      <w:r>
        <w:t xml:space="preserve">Bio sugerida:</w:t>
      </w:r>
    </w:p>
    <w:p>
      <w:pPr>
        <w:spacing w:after="20"/>
        <w:ind w:left="360"/>
      </w:pPr>
      <w:r>
        <w:rPr>
          <w:color w:val="23443A"/>
        </w:rPr>
        <w:t xml:space="preserve">Clases de números y ciencias</w:t>
      </w:r>
    </w:p>
    <w:p>
      <w:pPr>
        <w:spacing w:after="20"/>
        <w:ind w:left="360"/>
      </w:pPr>
      <w:r>
        <w:rPr>
          <w:color w:val="23443A"/>
        </w:rPr>
        <w:t xml:space="preserve">Secundaria · Pre · Universidad</w:t>
      </w:r>
    </w:p>
    <w:p>
      <w:pPr>
        <w:spacing w:after="20"/>
        <w:ind w:left="360"/>
      </w:pPr>
      <w:r>
        <w:rPr>
          <w:color w:val="23443A"/>
        </w:rPr>
        <w:t xml:space="preserve">Profes de Ingeniería PUCP</w:t>
      </w:r>
    </w:p>
    <w:p>
      <w:pPr>
        <w:spacing w:after="20"/>
        <w:ind w:left="360"/>
      </w:pPr>
      <w:r>
        <w:rPr>
          <w:color w:val="23443A"/>
        </w:rPr>
        <w:t xml:space="preserve">Plan con reporte mensual para padres</w:t>
      </w:r>
    </w:p>
    <w:p>
      <w:pPr>
        <w:spacing w:after="20"/>
        <w:ind w:left="360"/>
      </w:pPr>
      <w:r>
        <w:rPr>
          <w:color w:val="23443A"/>
        </w:rPr>
        <w:t xml:space="preserve">WhatsApp: +51 961 956 660</w:t>
      </w:r>
    </w:p>
    <w:p>
      <w:pPr>
        <w:spacing w:after="80" w:before="160"/>
      </w:pPr>
      <w:r>
        <w:t xml:space="preserve">Tres tipos de contenido que se alternan (3 publicaciones por semana e historias diarias):</w:t>
      </w:r>
    </w:p>
    <w:p>
      <w:pPr>
        <w:pStyle w:val="ListParagraph"/>
        <w:numPr>
          <w:ilvl w:val="0"/>
          <w:numId w:val="2"/>
        </w:numPr>
        <w:spacing w:after="60"/>
      </w:pPr>
      <w:r>
        <w:rPr>
          <w:b/>
          <w:bCs/>
        </w:rPr>
        <w:t xml:space="preserve">Ejercicio en 60 segundos: </w:t>
      </w:r>
      <w:r>
        <w:t xml:space="preserve">un problema típico de examen resuelto en reel.</w:t>
      </w:r>
    </w:p>
    <w:p>
      <w:pPr>
        <w:pStyle w:val="ListParagraph"/>
        <w:numPr>
          <w:ilvl w:val="0"/>
          <w:numId w:val="2"/>
        </w:numPr>
        <w:spacing w:after="60"/>
      </w:pPr>
      <w:r>
        <w:rPr>
          <w:b/>
          <w:bCs/>
        </w:rPr>
        <w:t xml:space="preserve">Antes y después: </w:t>
      </w:r>
      <w:r>
        <w:t xml:space="preserve">avance de un alumno, con permiso escrito y sin nombre.</w:t>
      </w:r>
    </w:p>
    <w:p>
      <w:pPr>
        <w:pStyle w:val="ListParagraph"/>
        <w:numPr>
          <w:ilvl w:val="0"/>
          <w:numId w:val="2"/>
        </w:numPr>
        <w:spacing w:after="60"/>
      </w:pPr>
      <w:r>
        <w:rPr>
          <w:b/>
          <w:bCs/>
        </w:rPr>
        <w:t xml:space="preserve">Detrás del método: </w:t>
      </w:r>
      <w:r>
        <w:t xml:space="preserve">quiénes son los profesores, cómo es un diagnóstico, un reporte para padres.</w:t>
      </w:r>
    </w:p>
    <w:p>
      <w:pPr>
        <w:spacing w:after="120"/>
      </w:pPr>
      <w:r>
        <w:t xml:space="preserve">Historias destacadas: Cursos, Planes, Cómo trabajamos, Testimonios.</w:t>
      </w:r>
    </w:p>
    <w:p>
      <w:pPr>
        <w:pStyle w:val="Heading2"/>
      </w:pPr>
      <w:r>
        <w:t xml:space="preserve">WhatsApp Business</w:t>
      </w:r>
    </w:p>
    <w:p>
      <w:pPr>
        <w:pStyle w:val="ListParagraph"/>
        <w:numPr>
          <w:ilvl w:val="0"/>
          <w:numId w:val="2"/>
        </w:numPr>
        <w:spacing w:after="60"/>
      </w:pPr>
      <w:r>
        <w:t xml:space="preserve">Mensaje de bienvenida que pregunta curso, grado y fecha del examen.</w:t>
      </w:r>
    </w:p>
    <w:p>
      <w:pPr>
        <w:pStyle w:val="ListParagraph"/>
        <w:numPr>
          <w:ilvl w:val="0"/>
          <w:numId w:val="2"/>
        </w:numPr>
        <w:spacing w:after="60"/>
      </w:pPr>
      <w:r>
        <w:t xml:space="preserve">Catálogo con la clase suelta y el plan mensual.</w:t>
      </w:r>
    </w:p>
    <w:p>
      <w:pPr>
        <w:pStyle w:val="ListParagraph"/>
        <w:numPr>
          <w:ilvl w:val="0"/>
          <w:numId w:val="2"/>
        </w:numPr>
        <w:spacing w:after="60"/>
      </w:pPr>
      <w:r>
        <w:t xml:space="preserve">Respuestas rápidas para precios, horarios, modalidad y facilidades de pago.</w:t>
      </w:r>
    </w:p>
    <w:p>
      <w:pPr>
        <w:pStyle w:val="ListParagraph"/>
        <w:numPr>
          <w:ilvl w:val="0"/>
          <w:numId w:val="2"/>
        </w:numPr>
        <w:spacing w:after="60"/>
      </w:pPr>
      <w:r>
        <w:t xml:space="preserve">Etiquetas por etapa: nuevo, diagnóstico agendado, plan activo, renovar.</w:t>
      </w:r>
    </w:p>
    <w:p>
      <w:pPr>
        <w:pStyle w:val="ListParagraph"/>
        <w:numPr>
          <w:ilvl w:val="0"/>
          <w:numId w:val="2"/>
        </w:numPr>
        <w:spacing w:after="60"/>
      </w:pPr>
      <w:r>
        <w:t xml:space="preserve">Un estado semanal con un tip o ejercicio.</w:t>
      </w:r>
    </w:p>
    <w:p>
      <w:pPr>
        <w:pStyle w:val="Heading2"/>
      </w:pPr>
      <w:r>
        <w:t xml:space="preserve">Medir qué zona funciona</w:t>
      </w:r>
    </w:p>
    <w:p>
      <w:pPr>
        <w:spacing w:after="120"/>
      </w:pPr>
      <w:r>
        <w:t xml:space="preserve">Imprimir las tarjetas en tandas con un QR distinto por zona. Cada QR abre WhatsApp con un mensaje que incluye un código, por ejemplo "(SM1)". Así se sabe qué colegio, librería o barrio trae alumnos.</w:t>
      </w:r>
    </w:p>
    <w:p>
      <w:pPr>
        <w:pStyle w:val="Heading2"/>
      </w:pPr>
      <w:r>
        <w:t xml:space="preserve">Dónde repartir</w:t>
      </w:r>
    </w:p>
    <w:p>
      <w:pPr>
        <w:pStyle w:val="ListParagraph"/>
        <w:numPr>
          <w:ilvl w:val="0"/>
          <w:numId w:val="2"/>
        </w:numPr>
        <w:spacing w:after="60"/>
      </w:pPr>
      <w:r>
        <w:t xml:space="preserve">Librerías y fotocopiadoras cerca de colegios, sobre todo en semanas de exámenes.</w:t>
      </w:r>
    </w:p>
    <w:p>
      <w:pPr>
        <w:pStyle w:val="ListParagraph"/>
        <w:numPr>
          <w:ilvl w:val="0"/>
          <w:numId w:val="2"/>
        </w:numPr>
        <w:spacing w:after="60"/>
      </w:pPr>
      <w:r>
        <w:t xml:space="preserve">Grupos de padres del colegio y grupos de Facebook del distrito (foto de la tarjeta).</w:t>
      </w:r>
    </w:p>
    <w:p>
      <w:pPr>
        <w:pStyle w:val="ListParagraph"/>
        <w:numPr>
          <w:ilvl w:val="0"/>
          <w:numId w:val="2"/>
        </w:numPr>
        <w:spacing w:after="60"/>
      </w:pPr>
      <w:r>
        <w:t xml:space="preserve">Cada alumno inscrito recibe 3 tarjetas para recomendar.</w:t>
      </w:r>
    </w:p>
    <w:p>
      <w:pPr>
        <w:pStyle w:val="ListParagraph"/>
        <w:numPr>
          <w:ilvl w:val="0"/>
          <w:numId w:val="2"/>
        </w:numPr>
        <w:spacing w:after="60"/>
      </w:pPr>
      <w:r>
        <w:t xml:space="preserve">Si hay clases presenciales: perfil de Google Maps para pedir reseñas.</w:t>
      </w:r>
    </w:p>
    <w:p>
      <w:pPr>
        <w:pStyle w:val="Heading1"/>
      </w:pPr>
      <w:r>
        <w:t xml:space="preserve">9. Primeros 30 días</w:t>
      </w:r>
    </w:p>
    <w:p>
      <w:pPr>
        <w:pStyle w:val="ListParagraph"/>
        <w:numPr>
          <w:ilvl w:val="0"/>
          <w:numId w:val="3"/>
        </w:numPr>
        <w:spacing w:after="60"/>
      </w:pPr>
      <w:r>
        <w:t xml:space="preserve">Confirmar el nombre y que @despeja.clases esté libre; buscar la marca en Indecopi.</w:t>
      </w:r>
    </w:p>
    <w:p>
      <w:pPr>
        <w:pStyle w:val="ListParagraph"/>
        <w:numPr>
          <w:ilvl w:val="0"/>
          <w:numId w:val="3"/>
        </w:numPr>
        <w:spacing w:after="60"/>
      </w:pPr>
      <w:r>
        <w:t xml:space="preserve">Fijar precios: clase suelta y plan mensual (10 % de descuento) y las facilidades de pago.</w:t>
      </w:r>
    </w:p>
    <w:p>
      <w:pPr>
        <w:pStyle w:val="ListParagraph"/>
        <w:numPr>
          <w:ilvl w:val="0"/>
          <w:numId w:val="3"/>
        </w:numPr>
        <w:spacing w:after="60"/>
      </w:pPr>
      <w:r>
        <w:t xml:space="preserve">Abrir Instagram y WhatsApp Business con bio, catálogo y respuestas rápidas.</w:t>
      </w:r>
    </w:p>
    <w:p>
      <w:pPr>
        <w:pStyle w:val="ListParagraph"/>
        <w:numPr>
          <w:ilvl w:val="0"/>
          <w:numId w:val="3"/>
        </w:numPr>
        <w:spacing w:after="60"/>
      </w:pPr>
      <w:r>
        <w:t xml:space="preserve">Publicar 6 posts antes de repartir tarjetas, para que el perfil no se vea vacío.</w:t>
      </w:r>
    </w:p>
    <w:p>
      <w:pPr>
        <w:pStyle w:val="ListParagraph"/>
        <w:numPr>
          <w:ilvl w:val="0"/>
          <w:numId w:val="3"/>
        </w:numPr>
        <w:spacing w:after="60"/>
      </w:pPr>
      <w:r>
        <w:t xml:space="preserve">Imprimir 500 tarjetas en 2 o 3 tandas con QR por zona y repartir.</w:t>
      </w:r>
    </w:p>
    <w:p>
      <w:pPr>
        <w:pStyle w:val="ListParagraph"/>
        <w:numPr>
          <w:ilvl w:val="0"/>
          <w:numId w:val="3"/>
        </w:numPr>
        <w:spacing w:after="60"/>
      </w:pPr>
      <w:r>
        <w:t xml:space="preserve">Al final del mes, contar mensajes por zona y repetir en las que funcionaron.</w:t>
      </w:r>
    </w:p>
    <w:p>
      <w:pPr>
        <w:pStyle w:val="Heading1"/>
      </w:pPr>
      <w:r>
        <w:t xml:space="preserve">10. Cuidados legales</w:t>
      </w:r>
    </w:p>
    <w:p>
      <w:pPr>
        <w:pStyle w:val="ListParagraph"/>
        <w:numPr>
          <w:ilvl w:val="0"/>
          <w:numId w:val="2"/>
        </w:numPr>
        <w:spacing w:after="60"/>
      </w:pPr>
      <w:r>
        <w:t xml:space="preserve">No usar logo, escudo ni colores de la PUCP; mencionar la universidad solo como respaldo real de los profesores.</w:t>
      </w:r>
    </w:p>
    <w:p>
      <w:pPr>
        <w:pStyle w:val="ListParagraph"/>
        <w:numPr>
          <w:ilvl w:val="0"/>
          <w:numId w:val="2"/>
        </w:numPr>
        <w:spacing w:after="60"/>
      </w:pPr>
      <w:r>
        <w:t xml:space="preserve">No prometer resultados garantizados: Indecopi puede considerarlo publicidad engañosa.</w:t>
      </w:r>
    </w:p>
    <w:p>
      <w:pPr>
        <w:pStyle w:val="ListParagraph"/>
        <w:numPr>
          <w:ilvl w:val="0"/>
          <w:numId w:val="2"/>
        </w:numPr>
        <w:spacing w:after="60"/>
      </w:pPr>
      <w:r>
        <w:t xml:space="preserve">Si el nombre funciona, registrarlo como marca en Indecopi (revisar la tasa vigente).</w:t>
      </w:r>
    </w:p>
    <w:p>
      <w:pPr>
        <w:pStyle w:val="ListParagraph"/>
        <w:numPr>
          <w:ilvl w:val="0"/>
          <w:numId w:val="2"/>
        </w:numPr>
        <w:spacing w:after="60"/>
      </w:pPr>
      <w:r>
        <w:t xml:space="preserve">Testimonios y notas de alumnos solo con permiso escrito de los padres.</w:t>
      </w:r>
    </w:p>
    <w:p>
      <w:pPr>
        <w:pStyle w:val="Heading1"/>
      </w:pPr>
      <w:r>
        <w:t xml:space="preserve">11. Pendientes</w:t>
      </w:r>
    </w:p>
    <w:p>
      <w:pPr>
        <w:pStyle w:val="ListParagraph"/>
        <w:numPr>
          <w:ilvl w:val="0"/>
          <w:numId w:val="2"/>
        </w:numPr>
        <w:spacing w:after="60"/>
      </w:pPr>
      <w:r>
        <w:t xml:space="preserve">Confirmar el usuario de Instagram.</w:t>
      </w:r>
    </w:p>
    <w:p>
      <w:pPr>
        <w:pStyle w:val="ListParagraph"/>
        <w:numPr>
          <w:ilvl w:val="0"/>
          <w:numId w:val="2"/>
        </w:numPr>
        <w:spacing w:after="60"/>
      </w:pPr>
      <w:r>
        <w:t xml:space="preserve">Definir precios y condiciones de las facilidades de pago.</w:t>
      </w:r>
    </w:p>
    <w:p>
      <w:pPr>
        <w:pStyle w:val="ListParagraph"/>
        <w:numPr>
          <w:ilvl w:val="0"/>
          <w:numId w:val="2"/>
        </w:numPr>
        <w:spacing w:after="60"/>
      </w:pPr>
      <w:r>
        <w:t xml:space="preserve">Confirmar "Máximo 4 por grupo".</w:t>
      </w:r>
    </w:p>
    <w:p>
      <w:pPr>
        <w:pStyle w:val="ListParagraph"/>
        <w:numPr>
          <w:ilvl w:val="0"/>
          <w:numId w:val="2"/>
        </w:numPr>
        <w:spacing w:after="60"/>
      </w:pPr>
      <w:r>
        <w:t xml:space="preserve">Elegir imprenta y pedir prueba de color antes del tiraje completo.</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6606E"/>
        <w:sz w:val="18"/>
        <w:szCs w:val="18"/>
      </w:rPr>
      <w:t xml:space="preserve">Despeja · Plan de marca  </w:t>
    </w:r>
    <w:r>
      <w:rPr>
        <w:color w:val="56606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4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23443A"/>
      <w:sz w:val="32"/>
      <w:szCs w:val="32"/>
    </w:rPr>
  </w:style>
  <w:style w:type="paragraph" w:styleId="Heading2">
    <w:name w:val="Heading 2"/>
    <w:basedOn w:val="Normal"/>
    <w:next w:val="Normal"/>
    <w:qFormat/>
    <w:pPr>
      <w:spacing w:after="100" w:before="240"/>
      <w:outlineLvl w:val="1"/>
    </w:pPr>
    <w:rPr>
      <w:b/>
      <w:bCs/>
      <w:color w:val="2344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416861b6e99d3f8736df1ec5a3af03b9a7a20a9.png"/><Relationship Id="rId9" Type="http://schemas.openxmlformats.org/officeDocument/2006/relationships/image" Target="media/410476418cabe3e6201ea94a22491b772258128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marca y marketing – Despeja</dc:title>
  <dc:creator>Despeja</dc:creator>
  <cp:lastModifiedBy>Un-named</cp:lastModifiedBy>
  <cp:revision>1</cp:revision>
  <dcterms:created xsi:type="dcterms:W3CDTF">2026-10-05T03:41:38.993Z</dcterms:created>
  <dcterms:modified xsi:type="dcterms:W3CDTF">2026-10-05T03:41:38.993Z</dcterms:modified>
</cp:coreProperties>
</file>

<file path=docProps/custom.xml><?xml version="1.0" encoding="utf-8"?>
<Properties xmlns="http://schemas.openxmlformats.org/officeDocument/2006/custom-properties" xmlns:vt="http://schemas.openxmlformats.org/officeDocument/2006/docPropsVTypes"/>
</file>