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832E" w14:textId="77777777" w:rsidR="00781CA2" w:rsidRPr="000222ED" w:rsidRDefault="00560AE5">
      <w:pPr>
        <w:rPr>
          <w:b/>
        </w:rPr>
      </w:pPr>
      <w:bookmarkStart w:id="0" w:name="_Hlk129257902"/>
      <w:bookmarkEnd w:id="0"/>
      <w:r w:rsidRPr="000222ED">
        <w:rPr>
          <w:b/>
          <w:u w:val="single"/>
        </w:rPr>
        <w:t>Supplementary Material</w:t>
      </w:r>
    </w:p>
    <w:p w14:paraId="527E4BA9" w14:textId="48AA3B38" w:rsidR="00781CA2" w:rsidRDefault="00781CA2">
      <w:pPr>
        <w:rPr>
          <w:b/>
        </w:rPr>
      </w:pPr>
    </w:p>
    <w:p w14:paraId="37F36084" w14:textId="77777777" w:rsidR="005A4971" w:rsidRDefault="00822554" w:rsidP="005A4971">
      <w:pPr>
        <w:contextualSpacing/>
        <w:jc w:val="both"/>
        <w:rPr>
          <w:b/>
          <w:i/>
          <w:iCs/>
        </w:rPr>
      </w:pPr>
      <w:r>
        <w:rPr>
          <w:b/>
          <w:i/>
          <w:iCs/>
        </w:rPr>
        <w:t>Model equations</w:t>
      </w:r>
    </w:p>
    <w:p w14:paraId="04B0D563" w14:textId="15CFC2A0" w:rsidR="00754B34" w:rsidRPr="00822554" w:rsidRDefault="00754B34" w:rsidP="005A4971">
      <w:pPr>
        <w:contextualSpacing/>
        <w:jc w:val="both"/>
        <w:rPr>
          <w:b/>
          <w:i/>
          <w:iCs/>
        </w:rPr>
      </w:pPr>
      <w:r>
        <w:rPr>
          <w:bCs/>
        </w:rPr>
        <w:t xml:space="preserve">The </w:t>
      </w:r>
      <w:r w:rsidR="000479C7">
        <w:rPr>
          <w:bCs/>
        </w:rPr>
        <w:t>differential</w:t>
      </w:r>
      <w:r>
        <w:rPr>
          <w:bCs/>
        </w:rPr>
        <w:t xml:space="preserve"> equations governing our meningococcal transmission model </w:t>
      </w:r>
      <w:r w:rsidR="00E5158A">
        <w:rPr>
          <w:bCs/>
        </w:rPr>
        <w:t>we</w:t>
      </w:r>
      <w:r>
        <w:rPr>
          <w:bCs/>
        </w:rPr>
        <w:t xml:space="preserve">re </w:t>
      </w:r>
      <w:r w:rsidRPr="0013297E">
        <w:rPr>
          <w:bCs/>
        </w:rPr>
        <w:t>as follows:</w:t>
      </w:r>
      <w:r>
        <w:rPr>
          <w:bCs/>
        </w:rPr>
        <w:t xml:space="preserve"> </w:t>
      </w:r>
    </w:p>
    <w:p w14:paraId="3DC1A380" w14:textId="77777777" w:rsidR="0013297E" w:rsidRDefault="0013297E">
      <w:pPr>
        <w:rPr>
          <w:bCs/>
        </w:rPr>
      </w:pPr>
    </w:p>
    <w:p w14:paraId="73D53C97" w14:textId="30847856" w:rsidR="00293639" w:rsidRPr="00293639" w:rsidRDefault="006B0F5B" w:rsidP="00AD7E6A">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dS</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r>
            <w:rPr>
              <w:rFonts w:ascii="Cambria Math" w:hAnsi="Cambria Math" w:cs="Times New Roman"/>
            </w:rPr>
            <m:t>-</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mi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ni</m:t>
                  </m:r>
                </m:sub>
              </m:sSub>
            </m:e>
          </m:d>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m:t>
              </m:r>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oMath>
      </m:oMathPara>
    </w:p>
    <w:p w14:paraId="7E6971D8" w14:textId="77777777" w:rsidR="00AD7E6A" w:rsidRPr="00AD7E6A" w:rsidRDefault="006B0F5B" w:rsidP="00AD7E6A">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dM</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mi</m:t>
                  </m:r>
                </m:sub>
              </m:sSub>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m:t>
          </m:r>
          <m:sSub>
            <m:sSubPr>
              <m:ctrlPr>
                <w:rPr>
                  <w:rFonts w:ascii="Cambria Math" w:hAnsi="Times New Roman"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Times New Roman" w:cs="Times New Roman"/>
                </w:rPr>
                <m:t>M</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VM</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M</m:t>
              </m:r>
            </m:e>
            <m:sub>
              <m:r>
                <w:rPr>
                  <w:rFonts w:ascii="Cambria Math" w:hAnsi="Cambria Math" w:cs="Times New Roman"/>
                </w:rPr>
                <m:t>i</m:t>
              </m:r>
            </m:sub>
          </m:sSub>
        </m:oMath>
      </m:oMathPara>
    </w:p>
    <w:p w14:paraId="61A4EC8A" w14:textId="5C520571" w:rsidR="00293639" w:rsidRPr="00293639" w:rsidRDefault="006B0F5B" w:rsidP="00AD7E6A">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dN</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ni</m:t>
                  </m:r>
                </m:sub>
              </m:sSub>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Times New Roman" w:cs="Times New Roman"/>
                </w:rPr>
                <m:t>N</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VN</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oMath>
      </m:oMathPara>
    </w:p>
    <w:p w14:paraId="43F2EED1" w14:textId="6E89852E" w:rsidR="00293639" w:rsidRPr="00BD0907" w:rsidRDefault="006B0F5B" w:rsidP="00AD7E6A">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dVS</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r>
            <w:rPr>
              <w:rFonts w:ascii="Cambria Math" w:hAnsi="Cambria Math" w:cs="Times New Roman"/>
            </w:rPr>
            <m:t>-</m:t>
          </m:r>
          <m:d>
            <m:dPr>
              <m:ctrlPr>
                <w:rPr>
                  <w:rFonts w:ascii="Cambria Math" w:hAnsi="Times New Roman" w:cs="Times New Roman"/>
                  <w:i/>
                </w:rPr>
              </m:ctrlPr>
            </m:dPr>
            <m:e>
              <m:sSub>
                <m:sSubPr>
                  <m:ctrlPr>
                    <w:rPr>
                      <w:rFonts w:ascii="Cambria Math" w:hAnsi="Times New Roman" w:cs="Times New Roman"/>
                      <w:i/>
                    </w:rPr>
                  </m:ctrlPr>
                </m:sSubPr>
                <m:e>
                  <m:d>
                    <m:dPr>
                      <m:ctrlPr>
                        <w:rPr>
                          <w:rFonts w:ascii="Cambria Math" w:hAnsi="Cambria Math" w:cs="Times New Roman"/>
                          <w:i/>
                        </w:rPr>
                      </m:ctrlPr>
                    </m:dPr>
                    <m:e>
                      <m:r>
                        <w:rPr>
                          <w:rFonts w:ascii="Cambria Math" w:hAnsi="Cambria Math" w:cs="Times New Roman"/>
                        </w:rPr>
                        <m:t>1-</m:t>
                      </m:r>
                      <m:r>
                        <w:rPr>
                          <w:rFonts w:ascii="Cambria Math" w:hAnsi="Cambria Math" w:cs="Times New Roman"/>
                          <w:i/>
                        </w:rPr>
                        <w:sym w:font="Symbol" w:char="F06B"/>
                      </m:r>
                    </m:e>
                  </m:d>
                  <m:r>
                    <w:rPr>
                      <w:rFonts w:ascii="Cambria Math" w:hAnsi="Cambria Math" w:cs="Times New Roman"/>
                    </w:rPr>
                    <m:t>λ</m:t>
                  </m:r>
                </m:e>
                <m:sub>
                  <m:r>
                    <w:rPr>
                      <w:rFonts w:ascii="Cambria Math" w:hAnsi="Cambria Math" w:cs="Times New Roman"/>
                    </w:rPr>
                    <m:t>mi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ni</m:t>
                  </m:r>
                </m:sub>
              </m:sSub>
            </m:e>
          </m:d>
          <m:r>
            <w:rPr>
              <w:rFonts w:ascii="Cambria Math" w:hAnsi="Times New Roman" w:cs="Times New Roman"/>
            </w:rPr>
            <m:t>V</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VM</m:t>
                  </m:r>
                </m:e>
                <m:sub>
                  <m:r>
                    <w:rPr>
                      <w:rFonts w:ascii="Cambria Math" w:hAnsi="Cambria Math" w:cs="Times New Roman"/>
                    </w:rPr>
                    <m:t>i</m:t>
                  </m:r>
                </m:sub>
              </m:sSub>
              <m:r>
                <w:rPr>
                  <w:rFonts w:ascii="Cambria Math" w:hAnsi="Times New Roman" w:cs="Times New Roman"/>
                </w:rPr>
                <m:t xml:space="preserve">+ </m:t>
              </m:r>
              <m:r>
                <w:rPr>
                  <w:rFonts w:ascii="Cambria Math" w:hAnsi="Times New Roman" w:cs="Times New Roman"/>
                </w:rPr>
                <m:t>V</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e>
          </m:d>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m:t>
              </m:r>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VS</m:t>
              </m:r>
            </m:e>
            <m:sub>
              <m:r>
                <w:rPr>
                  <w:rFonts w:ascii="Cambria Math" w:hAnsi="Cambria Math" w:cs="Times New Roman"/>
                </w:rPr>
                <m:t>i</m:t>
              </m:r>
            </m:sub>
          </m:sSub>
        </m:oMath>
      </m:oMathPara>
    </w:p>
    <w:p w14:paraId="09E71626" w14:textId="6FC2B6E4" w:rsidR="00AD7E6A" w:rsidRPr="0063477B" w:rsidRDefault="006B0F5B" w:rsidP="0063477B">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dVM</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sSub>
            <m:sSubPr>
              <m:ctrlPr>
                <w:rPr>
                  <w:rFonts w:ascii="Cambria Math" w:hAnsi="Times New Roman" w:cs="Times New Roman"/>
                  <w:i/>
                </w:rPr>
              </m:ctrlPr>
            </m:sSubPr>
            <m:e>
              <m:d>
                <m:dPr>
                  <m:ctrlPr>
                    <w:rPr>
                      <w:rFonts w:ascii="Cambria Math" w:hAnsi="Cambria Math" w:cs="Times New Roman"/>
                      <w:i/>
                    </w:rPr>
                  </m:ctrlPr>
                </m:dPr>
                <m:e>
                  <m:r>
                    <w:rPr>
                      <w:rFonts w:ascii="Cambria Math" w:hAnsi="Cambria Math" w:cs="Times New Roman"/>
                    </w:rPr>
                    <m:t>1-</m:t>
                  </m:r>
                  <m:r>
                    <w:rPr>
                      <w:rFonts w:ascii="Cambria Math" w:hAnsi="Cambria Math" w:cs="Times New Roman"/>
                      <w:i/>
                    </w:rPr>
                    <w:sym w:font="Symbol" w:char="F06B"/>
                  </m:r>
                </m:e>
              </m:d>
              <m:r>
                <w:rPr>
                  <w:rFonts w:ascii="Cambria Math" w:hAnsi="Cambria Math" w:cs="Times New Roman"/>
                </w:rPr>
                <m:t>λ</m:t>
              </m:r>
            </m:e>
            <m:sub>
              <m:r>
                <w:rPr>
                  <w:rFonts w:ascii="Cambria Math" w:hAnsi="Cambria Math" w:cs="Times New Roman"/>
                </w:rPr>
                <m:t>mi</m:t>
              </m:r>
            </m:sub>
          </m:sSub>
          <m:r>
            <w:rPr>
              <w:rFonts w:ascii="Cambria Math" w:hAnsi="Times New Roman" w:cs="Times New Roman"/>
            </w:rPr>
            <m:t>V</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m:t>
          </m:r>
          <m:sSub>
            <m:sSubPr>
              <m:ctrlPr>
                <w:rPr>
                  <w:rFonts w:ascii="Cambria Math" w:hAnsi="Times New Roman" w:cs="Times New Roman"/>
                  <w:i/>
                </w:rPr>
              </m:ctrlPr>
            </m:sSubPr>
            <m:e>
              <m:r>
                <w:rPr>
                  <w:rFonts w:ascii="Cambria Math" w:hAnsi="Cambria Math" w:cs="Times New Roman"/>
                </w:rPr>
                <m:t>VM</m:t>
              </m:r>
            </m:e>
            <m:sub>
              <m:r>
                <w:rPr>
                  <w:rFonts w:ascii="Cambria Math" w:hAnsi="Cambria Math" w:cs="Times New Roman"/>
                </w:rPr>
                <m:t>i</m:t>
              </m:r>
            </m:sub>
          </m:sSub>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VM</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VM</m:t>
              </m:r>
            </m:e>
            <m:sub>
              <m:r>
                <w:rPr>
                  <w:rFonts w:ascii="Cambria Math" w:hAnsi="Cambria Math" w:cs="Times New Roman"/>
                </w:rPr>
                <m:t>i</m:t>
              </m:r>
            </m:sub>
          </m:sSub>
        </m:oMath>
      </m:oMathPara>
    </w:p>
    <w:p w14:paraId="75C36639" w14:textId="613D80D9" w:rsidR="00AD7E6A" w:rsidRPr="0063477B" w:rsidRDefault="006B0F5B" w:rsidP="0063477B">
      <w:pPr>
        <w:ind w:left="720"/>
      </w:pPr>
      <m:oMathPara>
        <m:oMathParaPr>
          <m:jc m:val="left"/>
        </m:oMathParaPr>
        <m:oMath>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dVN</m:t>
                  </m:r>
                </m:e>
                <m:sub>
                  <m:r>
                    <w:rPr>
                      <w:rFonts w:ascii="Cambria Math" w:hAnsi="Cambria Math" w:cs="Times New Roman"/>
                    </w:rPr>
                    <m:t>i</m:t>
                  </m:r>
                </m:sub>
              </m:sSub>
            </m:num>
            <m:den>
              <m:r>
                <w:rPr>
                  <w:rFonts w:ascii="Cambria Math" w:hAnsi="Cambria Math" w:cs="Times New Roman"/>
                </w:rPr>
                <m:t>dt</m:t>
              </m:r>
              <m:r>
                <w:rPr>
                  <w:rFonts w:ascii="Cambria Math" w:hAnsi="Times New Roman" w:cs="Times New Roman"/>
                </w:rPr>
                <m:t xml:space="preserve"> </m:t>
              </m:r>
            </m:den>
          </m:f>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ni</m:t>
              </m:r>
            </m:sub>
          </m:sSub>
          <m:r>
            <w:rPr>
              <w:rFonts w:ascii="Cambria Math" w:hAnsi="Times New Roman" w:cs="Times New Roman"/>
            </w:rPr>
            <m:t>V</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Times New Roman" w:cs="Times New Roman"/>
            </w:rPr>
            <m:t>+</m:t>
          </m:r>
          <m:r>
            <w:rPr>
              <w:rFonts w:ascii="Cambria Math" w:hAnsi="Times New Roman" w:cs="Times New Roman"/>
            </w:rPr>
            <m:t>rV</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r>
            <w:rPr>
              <w:rFonts w:ascii="Cambria Math" w:hAnsi="Cambria Math" w:cs="Times New Roman"/>
            </w:rPr>
            <m:t>u</m:t>
          </m:r>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m:t>
          </m:r>
          <m:r>
            <w:rPr>
              <w:rFonts w:ascii="Cambria Math" w:hAnsi="Cambria Math" w:cs="Times New Roman"/>
            </w:rPr>
            <m:t>w</m:t>
          </m:r>
          <m:sSub>
            <m:sSubPr>
              <m:ctrlPr>
                <w:rPr>
                  <w:rFonts w:ascii="Cambria Math" w:hAnsi="Times New Roman" w:cs="Times New Roman"/>
                  <w:i/>
                </w:rPr>
              </m:ctrlPr>
            </m:sSubPr>
            <m:e>
              <m:r>
                <w:rPr>
                  <w:rFonts w:ascii="Cambria Math" w:hAnsi="Times New Roman" w:cs="Times New Roman"/>
                </w:rPr>
                <m:t>VN</m:t>
              </m:r>
            </m:e>
            <m:sub>
              <m:r>
                <w:rPr>
                  <w:rFonts w:ascii="Cambria Math" w:hAnsi="Cambria Math" w:cs="Times New Roman"/>
                </w:rPr>
                <m:t>i</m:t>
              </m:r>
            </m:sub>
          </m:sSub>
          <m:r>
            <w:rPr>
              <w:rFonts w:ascii="Cambria Math" w:hAnsi="Cambria Math" w:cs="Times New Roman"/>
            </w:rPr>
            <m:t>-</m:t>
          </m:r>
          <m:r>
            <w:rPr>
              <w:rFonts w:ascii="Cambria Math" w:hAnsi="Cambria Math" w:cs="Times New Roman"/>
            </w:rPr>
            <m:t>m</m:t>
          </m:r>
          <m:sSub>
            <m:sSubPr>
              <m:ctrlPr>
                <w:rPr>
                  <w:rFonts w:ascii="Cambria Math" w:hAnsi="Times New Roman" w:cs="Times New Roman"/>
                  <w:i/>
                </w:rPr>
              </m:ctrlPr>
            </m:sSubPr>
            <m:e>
              <m:r>
                <w:rPr>
                  <w:rFonts w:ascii="Cambria Math" w:hAnsi="Cambria Math" w:cs="Times New Roman"/>
                </w:rPr>
                <m:t>VN</m:t>
              </m:r>
            </m:e>
            <m:sub>
              <m:r>
                <w:rPr>
                  <w:rFonts w:ascii="Cambria Math" w:hAnsi="Cambria Math" w:cs="Times New Roman"/>
                </w:rPr>
                <m:t>i</m:t>
              </m:r>
            </m:sub>
          </m:sSub>
        </m:oMath>
      </m:oMathPara>
    </w:p>
    <w:p w14:paraId="48388164" w14:textId="77777777" w:rsidR="00BD0907" w:rsidRDefault="00BD0907">
      <w:pPr>
        <w:rPr>
          <w:bCs/>
        </w:rPr>
      </w:pPr>
    </w:p>
    <w:p w14:paraId="6929432E" w14:textId="5DA7692F" w:rsidR="009D569F" w:rsidRDefault="00EC3C7A" w:rsidP="0046623F">
      <w:pPr>
        <w:jc w:val="both"/>
        <w:rPr>
          <w:bCs/>
        </w:rPr>
      </w:pPr>
      <w:r>
        <w:rPr>
          <w:bCs/>
        </w:rPr>
        <w:t>This mod</w:t>
      </w:r>
      <w:r w:rsidR="00D97567">
        <w:rPr>
          <w:bCs/>
        </w:rPr>
        <w:t xml:space="preserve">el </w:t>
      </w:r>
      <w:r w:rsidR="00C76C39">
        <w:rPr>
          <w:bCs/>
        </w:rPr>
        <w:t>wa</w:t>
      </w:r>
      <w:r w:rsidR="00D97567">
        <w:rPr>
          <w:bCs/>
        </w:rPr>
        <w:t xml:space="preserve">s adapted </w:t>
      </w:r>
      <w:r w:rsidR="00C76C39">
        <w:rPr>
          <w:bCs/>
        </w:rPr>
        <w:t>from</w:t>
      </w:r>
      <w:r w:rsidR="00D97567">
        <w:rPr>
          <w:bCs/>
        </w:rPr>
        <w:t xml:space="preserve"> Christensen et al</w:t>
      </w:r>
      <w:r w:rsidR="00A04373">
        <w:rPr>
          <w:bCs/>
        </w:rPr>
        <w:t xml:space="preserve"> [1]</w:t>
      </w:r>
      <w:r w:rsidR="00D97567">
        <w:rPr>
          <w:bCs/>
        </w:rPr>
        <w:t xml:space="preserve">. </w:t>
      </w:r>
      <w:r w:rsidR="009D569F">
        <w:rPr>
          <w:bCs/>
        </w:rPr>
        <w:t xml:space="preserve">Individuals </w:t>
      </w:r>
      <w:r w:rsidR="00E5158A">
        <w:rPr>
          <w:bCs/>
        </w:rPr>
        <w:t>we</w:t>
      </w:r>
      <w:r w:rsidR="009D569F">
        <w:rPr>
          <w:bCs/>
        </w:rPr>
        <w:t>re divided into 100 single-year age classes</w:t>
      </w:r>
      <w:r w:rsidR="000479C7">
        <w:rPr>
          <w:bCs/>
        </w:rPr>
        <w:t xml:space="preserve"> (0 to 99 years)</w:t>
      </w:r>
      <w:r w:rsidR="009D569F">
        <w:rPr>
          <w:bCs/>
        </w:rPr>
        <w:t xml:space="preserve">, denoted by the subscript </w:t>
      </w:r>
      <m:oMath>
        <m:r>
          <w:rPr>
            <w:rFonts w:ascii="Cambria Math" w:hAnsi="Times New Roman" w:cs="Times New Roman"/>
          </w:rPr>
          <m:t>i</m:t>
        </m:r>
      </m:oMath>
      <w:r w:rsidR="009D569F">
        <w:rPr>
          <w:bCs/>
        </w:rPr>
        <w:t xml:space="preserve"> in the above equations.</w:t>
      </w:r>
      <w:r w:rsidR="000479C7">
        <w:rPr>
          <w:bCs/>
        </w:rPr>
        <w:t xml:space="preserve"> When individuals age, they move from age class </w:t>
      </w:r>
      <m:oMath>
        <m:r>
          <w:rPr>
            <w:rFonts w:ascii="Cambria Math" w:hAnsi="Times New Roman" w:cs="Times New Roman"/>
          </w:rPr>
          <m:t>i</m:t>
        </m:r>
      </m:oMath>
      <w:r w:rsidR="000479C7">
        <w:rPr>
          <w:bCs/>
        </w:rPr>
        <w:t xml:space="preserve"> to age class </w:t>
      </w:r>
      <m:oMath>
        <m:r>
          <w:rPr>
            <w:rFonts w:ascii="Cambria Math" w:hAnsi="Times New Roman" w:cs="Times New Roman"/>
          </w:rPr>
          <m:t>i+1</m:t>
        </m:r>
      </m:oMath>
      <w:r w:rsidR="000479C7">
        <w:rPr>
          <w:bCs/>
        </w:rPr>
        <w:t xml:space="preserve">. Births are introduced into the susceptible compartment </w:t>
      </w: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0</m:t>
            </m:r>
          </m:sub>
        </m:sSub>
      </m:oMath>
      <w:r w:rsidR="000479C7">
        <w:rPr>
          <w:bCs/>
        </w:rPr>
        <w:t xml:space="preserve">, and all those in age class 99 are assumed to die one year </w:t>
      </w:r>
      <w:r w:rsidR="009E1B7D">
        <w:rPr>
          <w:bCs/>
        </w:rPr>
        <w:t>on</w:t>
      </w:r>
      <w:r w:rsidR="000479C7">
        <w:rPr>
          <w:bCs/>
        </w:rPr>
        <w:t>.</w:t>
      </w:r>
      <w:r w:rsidR="009E1B7D">
        <w:rPr>
          <w:bCs/>
        </w:rPr>
        <w:t xml:space="preserve"> Movement of individuals due to infection and vaccine status is explained in Figure 1 in the main text.</w:t>
      </w:r>
    </w:p>
    <w:p w14:paraId="6531CAB1" w14:textId="0B537420" w:rsidR="002A6427" w:rsidRDefault="002A6427" w:rsidP="0046623F">
      <w:pPr>
        <w:jc w:val="both"/>
        <w:rPr>
          <w:bCs/>
        </w:rPr>
      </w:pPr>
    </w:p>
    <w:p w14:paraId="1B9AB815" w14:textId="77777777" w:rsidR="00822554" w:rsidRDefault="00822554" w:rsidP="0046623F">
      <w:pPr>
        <w:jc w:val="both"/>
        <w:rPr>
          <w:bCs/>
        </w:rPr>
      </w:pPr>
    </w:p>
    <w:p w14:paraId="12929A9E" w14:textId="77777777" w:rsidR="00822554" w:rsidRDefault="00822554" w:rsidP="0046623F">
      <w:pPr>
        <w:jc w:val="both"/>
        <w:rPr>
          <w:b/>
          <w:i/>
          <w:iCs/>
        </w:rPr>
      </w:pPr>
      <w:r>
        <w:rPr>
          <w:b/>
          <w:i/>
          <w:iCs/>
        </w:rPr>
        <w:t>Calculating the contact matrix and force of infection</w:t>
      </w:r>
    </w:p>
    <w:p w14:paraId="564C3525" w14:textId="3A11339B" w:rsidR="0013297E" w:rsidRPr="00822554" w:rsidRDefault="00132683" w:rsidP="0046623F">
      <w:pPr>
        <w:jc w:val="both"/>
        <w:rPr>
          <w:b/>
          <w:i/>
          <w:iCs/>
        </w:rPr>
      </w:pPr>
      <w:r>
        <w:rPr>
          <w:bCs/>
        </w:rPr>
        <w:t xml:space="preserve">An assortative social contact matrix </w:t>
      </w:r>
      <w:r w:rsidR="00E5158A">
        <w:rPr>
          <w:bCs/>
        </w:rPr>
        <w:t>wa</w:t>
      </w:r>
      <w:r>
        <w:rPr>
          <w:bCs/>
        </w:rPr>
        <w:t>s used in the model, where individuals are assumed more likely to interact with others of their own age, one year older, or one year younger, compared to the rest of the population. Methodology follows that of Christensen et al</w:t>
      </w:r>
      <w:r w:rsidR="00A04373">
        <w:rPr>
          <w:bCs/>
        </w:rPr>
        <w:t xml:space="preserve"> [2]</w:t>
      </w:r>
      <w:r>
        <w:rPr>
          <w:bCs/>
        </w:rPr>
        <w:t>, rep</w:t>
      </w:r>
      <w:r w:rsidR="00EE1993">
        <w:rPr>
          <w:bCs/>
        </w:rPr>
        <w:t>roduc</w:t>
      </w:r>
      <w:r>
        <w:rPr>
          <w:bCs/>
        </w:rPr>
        <w:t xml:space="preserve">ed here for </w:t>
      </w:r>
      <w:r w:rsidRPr="00EE1993">
        <w:rPr>
          <w:bCs/>
        </w:rPr>
        <w:t>clarity</w:t>
      </w:r>
      <w:r w:rsidR="00AA2B6A">
        <w:rPr>
          <w:bCs/>
        </w:rPr>
        <w:t>.</w:t>
      </w:r>
    </w:p>
    <w:p w14:paraId="71677008" w14:textId="522F6C7C" w:rsidR="00132683" w:rsidRPr="00EE1993" w:rsidRDefault="00132683" w:rsidP="0046623F">
      <w:pPr>
        <w:jc w:val="both"/>
        <w:rPr>
          <w:bCs/>
        </w:rPr>
      </w:pPr>
    </w:p>
    <w:p w14:paraId="3F7D14B4" w14:textId="25A20CF3" w:rsidR="00136CEC" w:rsidRDefault="00EE1993" w:rsidP="0046623F">
      <w:pPr>
        <w:spacing w:line="240" w:lineRule="auto"/>
        <w:jc w:val="both"/>
      </w:pPr>
      <w:r w:rsidRPr="0046623F">
        <w:t>Preferential m</w:t>
      </w:r>
      <w:r w:rsidR="00132683" w:rsidRPr="0046623F">
        <w:t xml:space="preserve">ixing </w:t>
      </w:r>
      <w:r w:rsidR="00E5158A">
        <w:t>wa</w:t>
      </w:r>
      <w:r w:rsidRPr="0046623F">
        <w:t>s</w:t>
      </w:r>
      <w:r w:rsidR="00132683" w:rsidRPr="0046623F">
        <w:t xml:space="preserve"> </w:t>
      </w:r>
      <w:r w:rsidR="002E157D">
        <w:t xml:space="preserve">assumed </w:t>
      </w:r>
      <w:r w:rsidR="00132683" w:rsidRPr="0046623F">
        <w:t xml:space="preserve">within </w:t>
      </w:r>
      <w:r w:rsidRPr="0046623F">
        <w:t>one</w:t>
      </w:r>
      <w:r w:rsidR="00132683" w:rsidRPr="0046623F">
        <w:t xml:space="preserve"> year of a given age group with degree </w:t>
      </w:r>
      <w:r w:rsidR="00132683" w:rsidRPr="0046623F">
        <w:rPr>
          <w:i/>
          <w:iCs/>
        </w:rPr>
        <w:t>ε</w:t>
      </w:r>
      <w:r w:rsidR="00132683" w:rsidRPr="0046623F">
        <w:t>, with individuals mixing with all age groups randomly with degree 1-</w:t>
      </w:r>
      <w:r w:rsidR="00132683" w:rsidRPr="0046623F">
        <w:rPr>
          <w:i/>
          <w:iCs/>
        </w:rPr>
        <w:t>ε</w:t>
      </w:r>
      <w:r w:rsidR="00132683" w:rsidRPr="0046623F">
        <w:t xml:space="preserve">. For ages 0 and 99, </w:t>
      </w:r>
      <w:r>
        <w:t>only individuals</w:t>
      </w:r>
      <w:r w:rsidR="00132683" w:rsidRPr="0046623F">
        <w:t xml:space="preserve"> age</w:t>
      </w:r>
      <w:r>
        <w:t>d</w:t>
      </w:r>
      <w:r w:rsidR="00132683" w:rsidRPr="0046623F">
        <w:t xml:space="preserve"> 0 and 1, and 98 and 99, contribute to the preferential mixing band respectively</w:t>
      </w:r>
      <w:r w:rsidRPr="0046623F">
        <w:t>. Epidemiological</w:t>
      </w:r>
      <w:r w:rsidR="00132683" w:rsidRPr="0046623F">
        <w:t xml:space="preserve"> data </w:t>
      </w:r>
      <w:r w:rsidRPr="0046623F">
        <w:t>was</w:t>
      </w:r>
      <w:r w:rsidR="00132683" w:rsidRPr="0046623F">
        <w:t xml:space="preserve"> used to derive estimates for the </w:t>
      </w:r>
      <w:r w:rsidR="009F7D59">
        <w:t>initial</w:t>
      </w:r>
      <w:r w:rsidR="008A7C93">
        <w:t xml:space="preserve"> vaccine-</w:t>
      </w:r>
      <w:r w:rsidR="00822554">
        <w:t>preventable</w:t>
      </w:r>
      <w:r w:rsidR="009F7D59">
        <w:t xml:space="preserve"> </w:t>
      </w:r>
      <w:r w:rsidR="00132683" w:rsidRPr="0046623F">
        <w:t xml:space="preserve">force of infection, </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i(0)</m:t>
            </m:r>
          </m:sub>
        </m:sSub>
      </m:oMath>
      <w:r w:rsidR="00132683" w:rsidRPr="0046623F">
        <w:rPr>
          <w:iCs/>
        </w:rPr>
        <w:t>,</w:t>
      </w:r>
      <w:r w:rsidR="00132683" w:rsidRPr="0046623F">
        <w:rPr>
          <w:i/>
          <w:iCs/>
        </w:rPr>
        <w:t xml:space="preserve"> </w:t>
      </w:r>
      <w:r w:rsidRPr="0046623F">
        <w:t xml:space="preserve">while the model was at equilibrium, </w:t>
      </w:r>
      <w:r w:rsidR="00132683" w:rsidRPr="0046623F">
        <w:t xml:space="preserve">and through rearrangement of the </w:t>
      </w:r>
      <w:r>
        <w:t xml:space="preserve">below </w:t>
      </w:r>
      <w:r w:rsidR="00132683" w:rsidRPr="0046623F">
        <w:t>equation</w:t>
      </w:r>
      <w:r w:rsidR="009F7D59">
        <w:t>,</w:t>
      </w:r>
      <w:r w:rsidR="00132683" w:rsidRPr="0046623F">
        <w:t xml:space="preserve"> </w:t>
      </w:r>
      <w:r w:rsidR="00132683" w:rsidRPr="0046623F">
        <w:rPr>
          <w:i/>
          <w:iCs/>
        </w:rPr>
        <w:t>β</w:t>
      </w:r>
      <w:proofErr w:type="spellStart"/>
      <w:r w:rsidR="00132683" w:rsidRPr="0046623F">
        <w:rPr>
          <w:i/>
          <w:iCs/>
          <w:vertAlign w:val="subscript"/>
        </w:rPr>
        <w:t>i</w:t>
      </w:r>
      <w:proofErr w:type="spellEnd"/>
      <w:r w:rsidR="00132683" w:rsidRPr="0046623F">
        <w:rPr>
          <w:i/>
          <w:iCs/>
        </w:rPr>
        <w:t xml:space="preserve"> </w:t>
      </w:r>
      <w:r w:rsidR="00132683" w:rsidRPr="0046623F">
        <w:t xml:space="preserve">values </w:t>
      </w:r>
      <w:r>
        <w:t>were</w:t>
      </w:r>
      <w:r w:rsidR="00132683" w:rsidRPr="0046623F">
        <w:t xml:space="preserve"> derived</w:t>
      </w:r>
      <w:r w:rsidR="00136CEC">
        <w:t>:</w:t>
      </w:r>
    </w:p>
    <w:p w14:paraId="35BE0529" w14:textId="77777777" w:rsidR="00822554" w:rsidRDefault="00822554" w:rsidP="0046623F">
      <w:pPr>
        <w:spacing w:line="240" w:lineRule="auto"/>
        <w:jc w:val="both"/>
      </w:pPr>
    </w:p>
    <w:p w14:paraId="5AC9C49C" w14:textId="0D637577" w:rsidR="00136CEC" w:rsidRDefault="00136CEC" w:rsidP="00136CEC">
      <w:pPr>
        <w:spacing w:line="240" w:lineRule="auto"/>
        <w:jc w:val="center"/>
      </w:pPr>
      <w:r w:rsidRPr="00132683">
        <w:rPr>
          <w:bCs/>
          <w:noProof/>
        </w:rPr>
        <w:drawing>
          <wp:inline distT="0" distB="0" distL="0" distR="0" wp14:anchorId="175F478A" wp14:editId="3D48348D">
            <wp:extent cx="2933700" cy="701084"/>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2988659" cy="714218"/>
                    </a:xfrm>
                    <a:prstGeom prst="rect">
                      <a:avLst/>
                    </a:prstGeom>
                  </pic:spPr>
                </pic:pic>
              </a:graphicData>
            </a:graphic>
          </wp:inline>
        </w:drawing>
      </w:r>
      <w:r w:rsidR="00625267">
        <w:t>.</w:t>
      </w:r>
    </w:p>
    <w:p w14:paraId="51FF66A2" w14:textId="77777777" w:rsidR="00AC1354" w:rsidRDefault="00AC1354" w:rsidP="0046623F">
      <w:pPr>
        <w:spacing w:line="240" w:lineRule="auto"/>
        <w:jc w:val="both"/>
      </w:pPr>
    </w:p>
    <w:p w14:paraId="603DCCCE" w14:textId="3DE6E04A" w:rsidR="008A7C93" w:rsidRDefault="008A7C93" w:rsidP="0046623F">
      <w:pPr>
        <w:spacing w:line="240" w:lineRule="auto"/>
        <w:jc w:val="both"/>
      </w:pPr>
      <w:r>
        <w:t xml:space="preserve">The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values used in the model are shown in Supplementary Table 1.</w:t>
      </w:r>
    </w:p>
    <w:p w14:paraId="4EAADDAD" w14:textId="77777777" w:rsidR="008A7C93" w:rsidRDefault="008A7C93" w:rsidP="0046623F">
      <w:pPr>
        <w:spacing w:line="240" w:lineRule="auto"/>
        <w:jc w:val="both"/>
      </w:pPr>
    </w:p>
    <w:p w14:paraId="28D43DF1" w14:textId="574D9BB7" w:rsidR="00822554" w:rsidRDefault="00132683" w:rsidP="00822554">
      <w:pPr>
        <w:spacing w:line="240" w:lineRule="auto"/>
        <w:jc w:val="both"/>
      </w:pPr>
      <w:r w:rsidRPr="0046623F">
        <w:t xml:space="preserve">Optimal </w:t>
      </w:r>
      <w:r w:rsidRPr="0046623F">
        <w:rPr>
          <w:i/>
        </w:rPr>
        <w:t>ε</w:t>
      </w:r>
      <w:r w:rsidRPr="0046623F">
        <w:t xml:space="preserve"> values were calculated for a given duration of carriage by minimising the sum of squares between the prevalence of carriers in the model averaged over 1 year and that obtained from the</w:t>
      </w:r>
      <w:r w:rsidR="00AA2B6A">
        <w:t xml:space="preserve"> Christensen et al.</w:t>
      </w:r>
      <w:r w:rsidRPr="0046623F">
        <w:t xml:space="preserve"> </w:t>
      </w:r>
      <w:r w:rsidRPr="009A47E8">
        <w:t>carriage systematic review</w:t>
      </w:r>
      <w:r w:rsidR="00A04373" w:rsidRPr="009A47E8">
        <w:t xml:space="preserve"> [3]</w:t>
      </w:r>
      <w:r w:rsidRPr="009A47E8">
        <w:t xml:space="preserve"> once the model had been allowed to stabilise (100 years)</w:t>
      </w:r>
      <w:r w:rsidR="00136CEC" w:rsidRPr="009A47E8">
        <w:t xml:space="preserve">. </w:t>
      </w:r>
      <w:r w:rsidR="00223DCB" w:rsidRPr="009A47E8">
        <w:t>ε = 0.9</w:t>
      </w:r>
      <w:r w:rsidR="00136CEC" w:rsidRPr="009A47E8">
        <w:t>8 was found to be</w:t>
      </w:r>
      <w:r w:rsidR="00136CEC">
        <w:t xml:space="preserve"> optimal.</w:t>
      </w:r>
      <w:r w:rsidR="00DA72EB">
        <w:t xml:space="preserve"> The final social contact </w:t>
      </w:r>
      <w:r w:rsidR="00DA72EB">
        <w:lastRenderedPageBreak/>
        <w:t xml:space="preserve">matrix for the model </w:t>
      </w:r>
      <w:r w:rsidR="00E5158A">
        <w:t>wa</w:t>
      </w:r>
      <w:r w:rsidR="00DA72EB">
        <w:t xml:space="preserve">s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L</m:t>
        </m:r>
      </m:oMath>
      <w:r w:rsidR="00DA72EB">
        <w:t xml:space="preserve"> where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DA72EB">
        <w:t xml:space="preserve"> takes the equilibrium-derived values shown in Supplementary Table 1 and </w:t>
      </w:r>
      <m:oMath>
        <m:r>
          <w:rPr>
            <w:rFonts w:ascii="Cambria Math" w:hAnsi="Cambria Math"/>
          </w:rPr>
          <m:t>L</m:t>
        </m:r>
      </m:oMath>
      <w:r w:rsidR="00DA72EB">
        <w:t xml:space="preserve"> is the following matrix of </w:t>
      </w:r>
      <m:oMath>
        <m:r>
          <w:rPr>
            <w:rFonts w:ascii="Cambria Math" w:hAnsi="Cambria Math"/>
          </w:rPr>
          <m:t>(1 - ε)</m:t>
        </m:r>
      </m:oMath>
      <w:r w:rsidR="00DA72EB">
        <w:t xml:space="preserve"> values:</w:t>
      </w:r>
    </w:p>
    <w:p w14:paraId="15CDFD67" w14:textId="77777777" w:rsidR="00822554" w:rsidRDefault="00822554" w:rsidP="00822554">
      <w:pPr>
        <w:spacing w:line="240" w:lineRule="auto"/>
        <w:jc w:val="both"/>
      </w:pPr>
    </w:p>
    <w:p w14:paraId="0E9CC1CD" w14:textId="68C9CF1A" w:rsidR="00DA72EB" w:rsidRDefault="00232F8E" w:rsidP="00822554">
      <w:pPr>
        <w:spacing w:line="240" w:lineRule="auto"/>
        <w:jc w:val="center"/>
        <w:rPr>
          <w:bCs/>
        </w:rPr>
      </w:pPr>
      <w:r>
        <w:rPr>
          <w:noProof/>
        </w:rPr>
        <w:drawing>
          <wp:inline distT="0" distB="0" distL="0" distR="0" wp14:anchorId="02FF8E1D" wp14:editId="151FAB6E">
            <wp:extent cx="4255477" cy="1607174"/>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7285" cy="1615410"/>
                    </a:xfrm>
                    <a:prstGeom prst="rect">
                      <a:avLst/>
                    </a:prstGeom>
                    <a:noFill/>
                    <a:ln>
                      <a:noFill/>
                    </a:ln>
                  </pic:spPr>
                </pic:pic>
              </a:graphicData>
            </a:graphic>
          </wp:inline>
        </w:drawing>
      </w:r>
    </w:p>
    <w:p w14:paraId="4EFDA474" w14:textId="690B5752" w:rsidR="00DA72EB" w:rsidRDefault="00DA72EB" w:rsidP="00E150AF">
      <w:pPr>
        <w:jc w:val="both"/>
        <w:rPr>
          <w:bCs/>
        </w:rPr>
      </w:pPr>
    </w:p>
    <w:p w14:paraId="437F5FA0" w14:textId="3A547C4A" w:rsidR="009F7D59" w:rsidRPr="005736BD" w:rsidRDefault="007D2963" w:rsidP="00E150AF">
      <w:pPr>
        <w:jc w:val="both"/>
        <w:rPr>
          <w:bCs/>
          <w:i/>
          <w:iCs/>
        </w:rPr>
      </w:pPr>
      <w:r>
        <w:rPr>
          <w:bCs/>
        </w:rPr>
        <w:t xml:space="preserve">Multiplying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L</m:t>
        </m:r>
      </m:oMath>
      <w:r>
        <w:rPr>
          <w:bCs/>
        </w:rPr>
        <w:t xml:space="preserve"> by the sum of infected individuals in each age class at time </w:t>
      </w:r>
      <m:oMath>
        <m:r>
          <w:rPr>
            <w:rFonts w:ascii="Cambria Math" w:hAnsi="Cambria Math"/>
          </w:rPr>
          <m:t>t</m:t>
        </m:r>
      </m:oMath>
      <w:r>
        <w:rPr>
          <w:bCs/>
        </w:rPr>
        <w:t xml:space="preserve"> reproduces the equation for </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i(t)</m:t>
            </m:r>
          </m:sub>
        </m:sSub>
        <m:r>
          <w:rPr>
            <w:rFonts w:ascii="Cambria Math" w:hAnsi="Times New Roman" w:cs="Times New Roman"/>
          </w:rPr>
          <m:t xml:space="preserve">. </m:t>
        </m:r>
      </m:oMath>
      <w:r w:rsidR="009F7D59">
        <w:rPr>
          <w:bCs/>
        </w:rPr>
        <w:t>The time-varying force of infection</w:t>
      </w:r>
      <w:r w:rsidR="002E157D">
        <w:rPr>
          <w:bCs/>
        </w:rPr>
        <w:t xml:space="preserve"> </w:t>
      </w:r>
      <m:oMath>
        <m:sSub>
          <m:sSubPr>
            <m:ctrlPr>
              <w:rPr>
                <w:rFonts w:ascii="Cambria Math" w:hAnsi="Times New Roman" w:cs="Times New Roman"/>
                <w:i/>
              </w:rPr>
            </m:ctrlPr>
          </m:sSubPr>
          <m:e>
            <m:r>
              <w:rPr>
                <w:rFonts w:ascii="Cambria Math" w:hAnsi="Cambria Math" w:cs="Times New Roman"/>
              </w:rPr>
              <m:t>λ</m:t>
            </m:r>
          </m:e>
          <m:sub>
            <m:r>
              <w:rPr>
                <w:rFonts w:ascii="Cambria Math" w:hAnsi="Cambria Math" w:cs="Times New Roman"/>
              </w:rPr>
              <m:t>i(t)</m:t>
            </m:r>
          </m:sub>
        </m:sSub>
      </m:oMath>
      <w:r w:rsidR="009F7D59">
        <w:rPr>
          <w:bCs/>
        </w:rPr>
        <w:t xml:space="preserve"> </w:t>
      </w:r>
      <w:r w:rsidR="00E5158A">
        <w:rPr>
          <w:bCs/>
        </w:rPr>
        <w:t>i</w:t>
      </w:r>
      <w:r w:rsidR="009F7D59">
        <w:rPr>
          <w:bCs/>
        </w:rPr>
        <w:t xml:space="preserve">s </w:t>
      </w:r>
      <w:r>
        <w:rPr>
          <w:bCs/>
        </w:rPr>
        <w:t>hence</w:t>
      </w:r>
      <w:r w:rsidR="009F7D59">
        <w:rPr>
          <w:bCs/>
        </w:rPr>
        <w:t xml:space="preserve"> calculated within the model at each timestep, </w:t>
      </w:r>
      <w:r>
        <w:rPr>
          <w:bCs/>
        </w:rPr>
        <w:t>using</w:t>
      </w:r>
      <w:r w:rsidR="009F7D59">
        <w:rPr>
          <w:bCs/>
        </w:rPr>
        <w:t xml:space="preserve"> the equilibrium-derived </w:t>
      </w:r>
      <w:r w:rsidR="009F7D59" w:rsidRPr="0046623F">
        <w:rPr>
          <w:i/>
          <w:iCs/>
        </w:rPr>
        <w:t>β</w:t>
      </w:r>
      <w:proofErr w:type="spellStart"/>
      <w:r w:rsidR="009F7D59" w:rsidRPr="0046623F">
        <w:rPr>
          <w:i/>
          <w:iCs/>
          <w:vertAlign w:val="subscript"/>
        </w:rPr>
        <w:t>i</w:t>
      </w:r>
      <w:proofErr w:type="spellEnd"/>
      <w:r w:rsidR="009F7D59" w:rsidRPr="0046623F">
        <w:rPr>
          <w:i/>
          <w:iCs/>
        </w:rPr>
        <w:t xml:space="preserve"> </w:t>
      </w:r>
      <w:r w:rsidR="009F7D59" w:rsidRPr="0046623F">
        <w:t>values</w:t>
      </w:r>
      <w:r w:rsidR="00DA72EB">
        <w:t xml:space="preserve">, </w:t>
      </w:r>
      <w:r w:rsidR="009F7D59" w:rsidRPr="0046623F">
        <w:rPr>
          <w:i/>
          <w:iCs/>
        </w:rPr>
        <w:t>ε</w:t>
      </w:r>
      <w:r w:rsidR="009F7D59">
        <w:t xml:space="preserve"> = 0.98, and </w:t>
      </w:r>
      <m:oMath>
        <m:sSub>
          <m:sSubPr>
            <m:ctrlPr>
              <w:rPr>
                <w:rFonts w:ascii="Cambria Math" w:hAnsi="Times New Roman" w:cs="Times New Roman"/>
                <w:i/>
              </w:rPr>
            </m:ctrlPr>
          </m:sSubPr>
          <m:e>
            <m:r>
              <w:rPr>
                <w:rFonts w:ascii="Cambria Math" w:hAnsi="Cambria Math" w:cs="Times New Roman"/>
              </w:rPr>
              <m:t>I</m:t>
            </m:r>
          </m:e>
          <m:sub>
            <m:r>
              <w:rPr>
                <w:rFonts w:ascii="Cambria Math" w:hAnsi="Cambria Math" w:cs="Times New Roman"/>
              </w:rPr>
              <m:t>i(t)</m:t>
            </m:r>
          </m:sub>
        </m:sSub>
      </m:oMath>
      <w:r w:rsidR="002E157D">
        <w:t xml:space="preserve"> </w:t>
      </w:r>
      <w:r w:rsidR="005736BD">
        <w:t xml:space="preserve">denoting the number of ACWY-infected individuals in age class </w:t>
      </w:r>
      <m:oMath>
        <m:r>
          <w:rPr>
            <w:rFonts w:ascii="Cambria Math" w:hAnsi="Cambria Math"/>
          </w:rPr>
          <m:t>i</m:t>
        </m:r>
      </m:oMath>
      <w:r w:rsidR="005736BD">
        <w:t xml:space="preserve"> at time </w:t>
      </w:r>
      <m:oMath>
        <m:r>
          <w:rPr>
            <w:rFonts w:ascii="Cambria Math" w:hAnsi="Cambria Math"/>
          </w:rPr>
          <m:t>t</m:t>
        </m:r>
      </m:oMath>
      <w:r w:rsidR="005736BD">
        <w:t>.</w:t>
      </w:r>
    </w:p>
    <w:p w14:paraId="37758F8B" w14:textId="77777777" w:rsidR="00A701A8" w:rsidRDefault="00A701A8" w:rsidP="00A701A8">
      <w:pPr>
        <w:spacing w:before="240" w:after="240"/>
        <w:rPr>
          <w:b/>
          <w:i/>
          <w:sz w:val="18"/>
          <w:szCs w:val="18"/>
        </w:rPr>
      </w:pPr>
    </w:p>
    <w:p w14:paraId="1134672B" w14:textId="77777777" w:rsidR="007870C6" w:rsidRPr="000222ED" w:rsidRDefault="007870C6" w:rsidP="00A701A8">
      <w:pPr>
        <w:spacing w:before="240" w:after="240"/>
        <w:rPr>
          <w:b/>
          <w:i/>
          <w:sz w:val="18"/>
          <w:szCs w:val="18"/>
        </w:rPr>
      </w:pPr>
    </w:p>
    <w:tbl>
      <w:tblPr>
        <w:tblW w:w="3534" w:type="dxa"/>
        <w:jc w:val="center"/>
        <w:tblBorders>
          <w:top w:val="single" w:sz="8" w:space="0" w:color="000000"/>
          <w:left w:val="single" w:sz="8" w:space="0" w:color="000000"/>
          <w:bottom w:val="single" w:sz="8" w:space="0" w:color="000000"/>
          <w:right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99"/>
        <w:gridCol w:w="851"/>
        <w:gridCol w:w="425"/>
        <w:gridCol w:w="709"/>
        <w:gridCol w:w="850"/>
      </w:tblGrid>
      <w:tr w:rsidR="00FF6827" w:rsidRPr="00960024" w14:paraId="68DF42FB" w14:textId="64A795DE" w:rsidTr="00FF6827">
        <w:trPr>
          <w:trHeight w:val="380"/>
          <w:jc w:val="center"/>
        </w:trPr>
        <w:tc>
          <w:tcPr>
            <w:tcW w:w="699" w:type="dxa"/>
            <w:shd w:val="clear" w:color="auto" w:fill="auto"/>
            <w:tcMar>
              <w:top w:w="100" w:type="dxa"/>
              <w:left w:w="100" w:type="dxa"/>
              <w:bottom w:w="100" w:type="dxa"/>
              <w:right w:w="100" w:type="dxa"/>
            </w:tcMar>
          </w:tcPr>
          <w:p w14:paraId="3410A77B" w14:textId="767E6137" w:rsidR="00FF6827" w:rsidRDefault="00FF6827" w:rsidP="00FE6E9F">
            <w:pPr>
              <w:widowControl w:val="0"/>
              <w:pBdr>
                <w:top w:val="nil"/>
                <w:left w:val="nil"/>
                <w:bottom w:val="nil"/>
                <w:right w:val="nil"/>
                <w:between w:val="nil"/>
              </w:pBdr>
              <w:spacing w:line="240" w:lineRule="auto"/>
              <w:jc w:val="center"/>
              <w:rPr>
                <w:b/>
                <w:sz w:val="18"/>
                <w:szCs w:val="18"/>
              </w:rPr>
            </w:pPr>
            <w:r>
              <w:rPr>
                <w:b/>
                <w:sz w:val="18"/>
                <w:szCs w:val="18"/>
              </w:rPr>
              <w:t>Ages</w:t>
            </w:r>
          </w:p>
          <w:p w14:paraId="7DF5E74E" w14:textId="77777777" w:rsidR="00FF6827" w:rsidRPr="00960024" w:rsidRDefault="00FF6827" w:rsidP="00FE6E9F">
            <w:pPr>
              <w:widowControl w:val="0"/>
              <w:pBdr>
                <w:top w:val="nil"/>
                <w:left w:val="nil"/>
                <w:bottom w:val="nil"/>
                <w:right w:val="nil"/>
                <w:between w:val="nil"/>
              </w:pBdr>
              <w:spacing w:line="240" w:lineRule="auto"/>
              <w:jc w:val="center"/>
              <w:rPr>
                <w:b/>
                <w:sz w:val="18"/>
                <w:szCs w:val="18"/>
              </w:rPr>
            </w:pPr>
            <w:r w:rsidRPr="002E0765">
              <w:rPr>
                <w:b/>
                <w:sz w:val="14"/>
                <w:szCs w:val="14"/>
              </w:rPr>
              <w:t>(years)</w:t>
            </w:r>
          </w:p>
        </w:tc>
        <w:tc>
          <w:tcPr>
            <w:tcW w:w="851" w:type="dxa"/>
            <w:shd w:val="clear" w:color="auto" w:fill="auto"/>
            <w:tcMar>
              <w:top w:w="100" w:type="dxa"/>
              <w:left w:w="100" w:type="dxa"/>
              <w:bottom w:w="100" w:type="dxa"/>
              <w:right w:w="100" w:type="dxa"/>
            </w:tcMar>
          </w:tcPr>
          <w:p w14:paraId="5DB7A26E" w14:textId="027AD8B4" w:rsidR="00FF6827" w:rsidRPr="00A701A8" w:rsidRDefault="00FF6827" w:rsidP="00FE6E9F">
            <w:pPr>
              <w:widowControl w:val="0"/>
              <w:pBdr>
                <w:top w:val="nil"/>
                <w:left w:val="nil"/>
                <w:bottom w:val="nil"/>
                <w:right w:val="nil"/>
                <w:between w:val="nil"/>
              </w:pBdr>
              <w:spacing w:line="240" w:lineRule="auto"/>
              <w:jc w:val="center"/>
              <w:rPr>
                <w:b/>
                <w:bCs/>
                <w:sz w:val="18"/>
                <w:szCs w:val="18"/>
              </w:rPr>
            </w:pPr>
            <w:r w:rsidRPr="00A701A8">
              <w:rPr>
                <w:b/>
                <w:bCs/>
                <w:i/>
                <w:iCs/>
                <w:sz w:val="18"/>
                <w:szCs w:val="18"/>
              </w:rPr>
              <w:t>β</w:t>
            </w:r>
            <w:proofErr w:type="spellStart"/>
            <w:r w:rsidRPr="00A701A8">
              <w:rPr>
                <w:b/>
                <w:bCs/>
                <w:i/>
                <w:iCs/>
                <w:sz w:val="18"/>
                <w:szCs w:val="18"/>
                <w:vertAlign w:val="subscript"/>
              </w:rPr>
              <w:t>i</w:t>
            </w:r>
            <w:proofErr w:type="spellEnd"/>
          </w:p>
        </w:tc>
        <w:tc>
          <w:tcPr>
            <w:tcW w:w="425" w:type="dxa"/>
          </w:tcPr>
          <w:p w14:paraId="1D64EB52" w14:textId="77777777" w:rsidR="00FF6827" w:rsidRDefault="00FF6827" w:rsidP="00FF6827">
            <w:pPr>
              <w:widowControl w:val="0"/>
              <w:pBdr>
                <w:top w:val="nil"/>
                <w:left w:val="nil"/>
                <w:bottom w:val="nil"/>
                <w:right w:val="nil"/>
                <w:between w:val="nil"/>
              </w:pBdr>
              <w:spacing w:line="240" w:lineRule="auto"/>
              <w:jc w:val="center"/>
              <w:rPr>
                <w:b/>
                <w:sz w:val="18"/>
                <w:szCs w:val="18"/>
              </w:rPr>
            </w:pPr>
          </w:p>
        </w:tc>
        <w:tc>
          <w:tcPr>
            <w:tcW w:w="709" w:type="dxa"/>
          </w:tcPr>
          <w:p w14:paraId="36B48080" w14:textId="131EBDD2" w:rsidR="00FF6827" w:rsidRDefault="00FF6827" w:rsidP="00FF6827">
            <w:pPr>
              <w:widowControl w:val="0"/>
              <w:pBdr>
                <w:top w:val="nil"/>
                <w:left w:val="nil"/>
                <w:bottom w:val="nil"/>
                <w:right w:val="nil"/>
                <w:between w:val="nil"/>
              </w:pBdr>
              <w:spacing w:line="240" w:lineRule="auto"/>
              <w:jc w:val="center"/>
              <w:rPr>
                <w:b/>
                <w:sz w:val="18"/>
                <w:szCs w:val="18"/>
              </w:rPr>
            </w:pPr>
            <w:r>
              <w:rPr>
                <w:b/>
                <w:sz w:val="18"/>
                <w:szCs w:val="18"/>
              </w:rPr>
              <w:t>Ages</w:t>
            </w:r>
          </w:p>
          <w:p w14:paraId="1D07F16A" w14:textId="4650CA4D" w:rsidR="00FF6827" w:rsidRPr="00A701A8" w:rsidRDefault="00FF6827" w:rsidP="00FE6E9F">
            <w:pPr>
              <w:widowControl w:val="0"/>
              <w:pBdr>
                <w:top w:val="nil"/>
                <w:left w:val="nil"/>
                <w:bottom w:val="nil"/>
                <w:right w:val="nil"/>
                <w:between w:val="nil"/>
              </w:pBdr>
              <w:spacing w:line="240" w:lineRule="auto"/>
              <w:jc w:val="center"/>
              <w:rPr>
                <w:b/>
                <w:bCs/>
                <w:i/>
                <w:iCs/>
                <w:sz w:val="18"/>
                <w:szCs w:val="18"/>
              </w:rPr>
            </w:pPr>
            <w:r w:rsidRPr="002E0765">
              <w:rPr>
                <w:b/>
                <w:sz w:val="14"/>
                <w:szCs w:val="14"/>
              </w:rPr>
              <w:t>(years)</w:t>
            </w:r>
          </w:p>
        </w:tc>
        <w:tc>
          <w:tcPr>
            <w:tcW w:w="850" w:type="dxa"/>
          </w:tcPr>
          <w:p w14:paraId="54C52C80" w14:textId="246DD759" w:rsidR="00FF6827" w:rsidRPr="00A701A8" w:rsidRDefault="00FF6827" w:rsidP="00FE6E9F">
            <w:pPr>
              <w:widowControl w:val="0"/>
              <w:pBdr>
                <w:top w:val="nil"/>
                <w:left w:val="nil"/>
                <w:bottom w:val="nil"/>
                <w:right w:val="nil"/>
                <w:between w:val="nil"/>
              </w:pBdr>
              <w:spacing w:line="240" w:lineRule="auto"/>
              <w:jc w:val="center"/>
              <w:rPr>
                <w:b/>
                <w:bCs/>
                <w:i/>
                <w:iCs/>
                <w:sz w:val="18"/>
                <w:szCs w:val="18"/>
              </w:rPr>
            </w:pPr>
            <w:r w:rsidRPr="00A701A8">
              <w:rPr>
                <w:b/>
                <w:bCs/>
                <w:i/>
                <w:iCs/>
                <w:sz w:val="18"/>
                <w:szCs w:val="18"/>
              </w:rPr>
              <w:t>β</w:t>
            </w:r>
            <w:proofErr w:type="spellStart"/>
            <w:r w:rsidRPr="00A701A8">
              <w:rPr>
                <w:b/>
                <w:bCs/>
                <w:i/>
                <w:iCs/>
                <w:sz w:val="18"/>
                <w:szCs w:val="18"/>
                <w:vertAlign w:val="subscript"/>
              </w:rPr>
              <w:t>i</w:t>
            </w:r>
            <w:proofErr w:type="spellEnd"/>
          </w:p>
        </w:tc>
      </w:tr>
      <w:tr w:rsidR="00FF6827" w:rsidRPr="00960024" w14:paraId="51207112" w14:textId="438C9AAC" w:rsidTr="00FF6827">
        <w:trPr>
          <w:trHeight w:val="380"/>
          <w:jc w:val="center"/>
        </w:trPr>
        <w:tc>
          <w:tcPr>
            <w:tcW w:w="699" w:type="dxa"/>
            <w:shd w:val="clear" w:color="auto" w:fill="auto"/>
            <w:tcMar>
              <w:top w:w="100" w:type="dxa"/>
              <w:left w:w="100" w:type="dxa"/>
              <w:bottom w:w="100" w:type="dxa"/>
              <w:right w:w="100" w:type="dxa"/>
            </w:tcMar>
          </w:tcPr>
          <w:p w14:paraId="58197C09" w14:textId="2C0CAD4B"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0</w:t>
            </w:r>
          </w:p>
          <w:p w14:paraId="64B851D7" w14:textId="4BEFAF5B"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w:t>
            </w:r>
          </w:p>
          <w:p w14:paraId="45272361" w14:textId="525A6208"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2</w:t>
            </w:r>
          </w:p>
          <w:p w14:paraId="706FAFCF" w14:textId="4E6288AF"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3</w:t>
            </w:r>
          </w:p>
          <w:p w14:paraId="35227DBD" w14:textId="03A187B7"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4</w:t>
            </w:r>
          </w:p>
          <w:p w14:paraId="66E02AF4" w14:textId="7158283C"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5</w:t>
            </w:r>
          </w:p>
          <w:p w14:paraId="5E0C7A62" w14:textId="21F5A5D3"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6</w:t>
            </w:r>
          </w:p>
          <w:p w14:paraId="67E74A2B" w14:textId="5F718081"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7</w:t>
            </w:r>
          </w:p>
          <w:p w14:paraId="205BC64F" w14:textId="7ABBE7C2"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8</w:t>
            </w:r>
          </w:p>
          <w:p w14:paraId="15B6F4FD" w14:textId="2EB8150C"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9</w:t>
            </w:r>
          </w:p>
          <w:p w14:paraId="670C325E" w14:textId="4B11E372"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10</w:t>
            </w:r>
          </w:p>
          <w:p w14:paraId="084F5B78" w14:textId="0042E5AD"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11</w:t>
            </w:r>
          </w:p>
          <w:p w14:paraId="2171CBA2" w14:textId="0FF1D587"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12</w:t>
            </w:r>
          </w:p>
          <w:p w14:paraId="4B994C5F" w14:textId="526588AE"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13</w:t>
            </w:r>
          </w:p>
          <w:p w14:paraId="1C3967C9" w14:textId="1BFB5F8C"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14</w:t>
            </w:r>
          </w:p>
          <w:p w14:paraId="158D4B90" w14:textId="44B20940"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15</w:t>
            </w:r>
          </w:p>
          <w:p w14:paraId="7D19A30E" w14:textId="412D2E8C"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16</w:t>
            </w:r>
          </w:p>
          <w:p w14:paraId="7D5F88E6" w14:textId="53CE03F8"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17</w:t>
            </w:r>
          </w:p>
          <w:p w14:paraId="41610A54" w14:textId="49C975D4"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18</w:t>
            </w:r>
          </w:p>
          <w:p w14:paraId="50BA2A6B" w14:textId="293C1F78" w:rsidR="00FF6827" w:rsidRDefault="00FF6827" w:rsidP="00FE6E9F">
            <w:pPr>
              <w:widowControl w:val="0"/>
              <w:pBdr>
                <w:top w:val="nil"/>
                <w:left w:val="nil"/>
                <w:bottom w:val="nil"/>
                <w:right w:val="nil"/>
                <w:between w:val="nil"/>
              </w:pBdr>
              <w:spacing w:line="240" w:lineRule="auto"/>
              <w:jc w:val="center"/>
              <w:rPr>
                <w:sz w:val="18"/>
                <w:szCs w:val="18"/>
              </w:rPr>
            </w:pPr>
            <w:r>
              <w:rPr>
                <w:sz w:val="18"/>
                <w:szCs w:val="18"/>
              </w:rPr>
              <w:t>19</w:t>
            </w:r>
          </w:p>
          <w:p w14:paraId="4FD5DD7A" w14:textId="09D79CC1" w:rsidR="00FF6827" w:rsidRPr="00960024" w:rsidRDefault="00FF6827" w:rsidP="00FE6E9F">
            <w:pPr>
              <w:widowControl w:val="0"/>
              <w:pBdr>
                <w:top w:val="nil"/>
                <w:left w:val="nil"/>
                <w:bottom w:val="nil"/>
                <w:right w:val="nil"/>
                <w:between w:val="nil"/>
              </w:pBdr>
              <w:spacing w:line="240" w:lineRule="auto"/>
              <w:jc w:val="center"/>
              <w:rPr>
                <w:sz w:val="18"/>
                <w:szCs w:val="18"/>
              </w:rPr>
            </w:pPr>
            <w:r>
              <w:rPr>
                <w:sz w:val="18"/>
                <w:szCs w:val="18"/>
              </w:rPr>
              <w:t>20</w:t>
            </w:r>
          </w:p>
        </w:tc>
        <w:tc>
          <w:tcPr>
            <w:tcW w:w="851" w:type="dxa"/>
            <w:shd w:val="clear" w:color="auto" w:fill="auto"/>
            <w:tcMar>
              <w:top w:w="100" w:type="dxa"/>
              <w:left w:w="100" w:type="dxa"/>
              <w:bottom w:w="100" w:type="dxa"/>
              <w:right w:w="100" w:type="dxa"/>
            </w:tcMar>
          </w:tcPr>
          <w:p w14:paraId="7A62A5EF"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0.0688</w:t>
            </w:r>
          </w:p>
          <w:p w14:paraId="3584AC13"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0.0782</w:t>
            </w:r>
          </w:p>
          <w:p w14:paraId="3DCA1E42"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0.0802</w:t>
            </w:r>
          </w:p>
          <w:p w14:paraId="0DF79D26"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0.0831</w:t>
            </w:r>
          </w:p>
          <w:p w14:paraId="6F54861B"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0.0858</w:t>
            </w:r>
          </w:p>
          <w:p w14:paraId="18A9A8B5"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0.0882</w:t>
            </w:r>
          </w:p>
          <w:p w14:paraId="3FB9D4A3"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0.0904</w:t>
            </w:r>
          </w:p>
          <w:p w14:paraId="571F437C"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0.0923</w:t>
            </w:r>
          </w:p>
          <w:p w14:paraId="656CD6D1"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0.0940</w:t>
            </w:r>
          </w:p>
          <w:p w14:paraId="1B7A09E9"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0.0954</w:t>
            </w:r>
          </w:p>
          <w:p w14:paraId="33DAFE65"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0.0965</w:t>
            </w:r>
          </w:p>
          <w:p w14:paraId="735E3EDB"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0.0978</w:t>
            </w:r>
          </w:p>
          <w:p w14:paraId="019E536B"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0.1003</w:t>
            </w:r>
          </w:p>
          <w:p w14:paraId="31F2ED17"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0.1056</w:t>
            </w:r>
          </w:p>
          <w:p w14:paraId="4F7E4E31"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0.1147</w:t>
            </w:r>
          </w:p>
          <w:p w14:paraId="3B8A940B"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0.1263</w:t>
            </w:r>
          </w:p>
          <w:p w14:paraId="4E5E2AE2"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0.1364</w:t>
            </w:r>
          </w:p>
          <w:p w14:paraId="0DA0057C"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0.1415</w:t>
            </w:r>
          </w:p>
          <w:p w14:paraId="4EFF104E" w14:textId="77777777" w:rsidR="00FF6827" w:rsidRPr="00C66F63" w:rsidRDefault="00FF6827" w:rsidP="00FE6E9F">
            <w:pPr>
              <w:widowControl w:val="0"/>
              <w:pBdr>
                <w:top w:val="nil"/>
                <w:left w:val="nil"/>
                <w:bottom w:val="nil"/>
                <w:right w:val="nil"/>
                <w:between w:val="nil"/>
              </w:pBdr>
              <w:spacing w:line="240" w:lineRule="auto"/>
              <w:rPr>
                <w:sz w:val="18"/>
                <w:szCs w:val="18"/>
              </w:rPr>
            </w:pPr>
            <w:r w:rsidRPr="00C66F63">
              <w:rPr>
                <w:sz w:val="18"/>
                <w:szCs w:val="18"/>
              </w:rPr>
              <w:t>0.1415</w:t>
            </w:r>
          </w:p>
          <w:p w14:paraId="68E0E246" w14:textId="77777777" w:rsidR="00FF6827" w:rsidRDefault="00FF6827" w:rsidP="00FE6E9F">
            <w:pPr>
              <w:widowControl w:val="0"/>
              <w:pBdr>
                <w:top w:val="nil"/>
                <w:left w:val="nil"/>
                <w:bottom w:val="nil"/>
                <w:right w:val="nil"/>
                <w:between w:val="nil"/>
              </w:pBdr>
              <w:spacing w:line="240" w:lineRule="auto"/>
              <w:rPr>
                <w:sz w:val="18"/>
                <w:szCs w:val="18"/>
              </w:rPr>
            </w:pPr>
            <w:r w:rsidRPr="00C66F63">
              <w:rPr>
                <w:sz w:val="18"/>
                <w:szCs w:val="18"/>
              </w:rPr>
              <w:t>0.1387</w:t>
            </w:r>
          </w:p>
          <w:p w14:paraId="46CA11FA" w14:textId="5DBB54C8" w:rsidR="00FF6827" w:rsidRPr="00960024" w:rsidRDefault="00FF6827" w:rsidP="00FE6E9F">
            <w:pPr>
              <w:widowControl w:val="0"/>
              <w:pBdr>
                <w:top w:val="nil"/>
                <w:left w:val="nil"/>
                <w:bottom w:val="nil"/>
                <w:right w:val="nil"/>
                <w:between w:val="nil"/>
              </w:pBdr>
              <w:spacing w:line="240" w:lineRule="auto"/>
              <w:rPr>
                <w:sz w:val="18"/>
                <w:szCs w:val="18"/>
              </w:rPr>
            </w:pPr>
            <w:r w:rsidRPr="00C66F63">
              <w:rPr>
                <w:sz w:val="18"/>
                <w:szCs w:val="18"/>
              </w:rPr>
              <w:t>0.1348</w:t>
            </w:r>
          </w:p>
        </w:tc>
        <w:tc>
          <w:tcPr>
            <w:tcW w:w="425" w:type="dxa"/>
          </w:tcPr>
          <w:p w14:paraId="161ACFDB" w14:textId="77777777" w:rsidR="00FF6827" w:rsidRDefault="00FF6827" w:rsidP="00FF6827">
            <w:pPr>
              <w:widowControl w:val="0"/>
              <w:pBdr>
                <w:top w:val="nil"/>
                <w:left w:val="nil"/>
                <w:bottom w:val="nil"/>
                <w:right w:val="nil"/>
                <w:between w:val="nil"/>
              </w:pBdr>
              <w:spacing w:line="240" w:lineRule="auto"/>
              <w:jc w:val="center"/>
              <w:rPr>
                <w:sz w:val="18"/>
                <w:szCs w:val="18"/>
              </w:rPr>
            </w:pPr>
          </w:p>
        </w:tc>
        <w:tc>
          <w:tcPr>
            <w:tcW w:w="709" w:type="dxa"/>
          </w:tcPr>
          <w:p w14:paraId="24EB2FF9" w14:textId="43A46DF3"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21-25</w:t>
            </w:r>
          </w:p>
          <w:p w14:paraId="5BFD36E5" w14:textId="67E97404"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26-30</w:t>
            </w:r>
          </w:p>
          <w:p w14:paraId="0214A096" w14:textId="4D87691A"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31-35</w:t>
            </w:r>
          </w:p>
          <w:p w14:paraId="5ED7D9B8" w14:textId="53E2CD98"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36-40</w:t>
            </w:r>
          </w:p>
          <w:p w14:paraId="3EF6303D" w14:textId="14D0F16F"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41-45</w:t>
            </w:r>
          </w:p>
          <w:p w14:paraId="2ECAE2E0" w14:textId="44F1F6DE"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46-50</w:t>
            </w:r>
          </w:p>
          <w:p w14:paraId="11987453" w14:textId="29F7EF9E"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51-55</w:t>
            </w:r>
          </w:p>
          <w:p w14:paraId="27B0560B" w14:textId="66845F8D"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56-60</w:t>
            </w:r>
          </w:p>
          <w:p w14:paraId="7F5293B6" w14:textId="58AC1BD0"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61-65</w:t>
            </w:r>
          </w:p>
          <w:p w14:paraId="5DB3EE66" w14:textId="3199EBE7"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66-70</w:t>
            </w:r>
          </w:p>
          <w:p w14:paraId="78FBC72B" w14:textId="55648001"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71-75</w:t>
            </w:r>
          </w:p>
          <w:p w14:paraId="0B8F8680" w14:textId="52D3DA72"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76-80</w:t>
            </w:r>
          </w:p>
          <w:p w14:paraId="24703AF5" w14:textId="70960AD3"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81-85</w:t>
            </w:r>
          </w:p>
          <w:p w14:paraId="472A2E6C" w14:textId="2BE1EA9E"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86-90</w:t>
            </w:r>
          </w:p>
          <w:p w14:paraId="14F28964" w14:textId="25DE7F83"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91-95</w:t>
            </w:r>
          </w:p>
          <w:p w14:paraId="63CE9C41" w14:textId="2766D69A" w:rsidR="00FF6827" w:rsidRDefault="00FF6827" w:rsidP="00FF6827">
            <w:pPr>
              <w:widowControl w:val="0"/>
              <w:pBdr>
                <w:top w:val="nil"/>
                <w:left w:val="nil"/>
                <w:bottom w:val="nil"/>
                <w:right w:val="nil"/>
                <w:between w:val="nil"/>
              </w:pBdr>
              <w:spacing w:line="240" w:lineRule="auto"/>
              <w:jc w:val="center"/>
              <w:rPr>
                <w:sz w:val="18"/>
                <w:szCs w:val="18"/>
              </w:rPr>
            </w:pPr>
            <w:r>
              <w:rPr>
                <w:sz w:val="18"/>
                <w:szCs w:val="18"/>
              </w:rPr>
              <w:t>96-99</w:t>
            </w:r>
          </w:p>
          <w:p w14:paraId="2A6398D9" w14:textId="3D1B50F2" w:rsidR="00FF6827" w:rsidRPr="00C66F63" w:rsidRDefault="00FF6827" w:rsidP="00FE6E9F">
            <w:pPr>
              <w:widowControl w:val="0"/>
              <w:pBdr>
                <w:top w:val="nil"/>
                <w:left w:val="nil"/>
                <w:bottom w:val="nil"/>
                <w:right w:val="nil"/>
                <w:between w:val="nil"/>
              </w:pBdr>
              <w:spacing w:line="240" w:lineRule="auto"/>
              <w:rPr>
                <w:sz w:val="18"/>
                <w:szCs w:val="18"/>
              </w:rPr>
            </w:pPr>
          </w:p>
        </w:tc>
        <w:tc>
          <w:tcPr>
            <w:tcW w:w="850" w:type="dxa"/>
          </w:tcPr>
          <w:p w14:paraId="7CDA0B71"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0.1256</w:t>
            </w:r>
          </w:p>
          <w:p w14:paraId="53F5FB5D"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0.1170</w:t>
            </w:r>
          </w:p>
          <w:p w14:paraId="1EB90ECE"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0.1120</w:t>
            </w:r>
          </w:p>
          <w:p w14:paraId="3C79BD84"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0.1074</w:t>
            </w:r>
          </w:p>
          <w:p w14:paraId="25685223"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0.1027</w:t>
            </w:r>
          </w:p>
          <w:p w14:paraId="2E23D2BF"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0.0980</w:t>
            </w:r>
          </w:p>
          <w:p w14:paraId="2F58AE8C"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0.0934</w:t>
            </w:r>
          </w:p>
          <w:p w14:paraId="782CFD6F"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0.0889</w:t>
            </w:r>
          </w:p>
          <w:p w14:paraId="71037D96"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0.0846</w:t>
            </w:r>
          </w:p>
          <w:p w14:paraId="2DF5E3D9"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0.0807</w:t>
            </w:r>
          </w:p>
          <w:p w14:paraId="4D32B527"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0.0773</w:t>
            </w:r>
          </w:p>
          <w:p w14:paraId="2D5C7149"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0.0747</w:t>
            </w:r>
          </w:p>
          <w:p w14:paraId="4E72C85F"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0.0730</w:t>
            </w:r>
          </w:p>
          <w:p w14:paraId="247DCFF6"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0.0717</w:t>
            </w:r>
          </w:p>
          <w:p w14:paraId="099FD5FB" w14:textId="77777777" w:rsidR="005A4971" w:rsidRPr="005A4971" w:rsidRDefault="005A4971" w:rsidP="005A4971">
            <w:pPr>
              <w:widowControl w:val="0"/>
              <w:pBdr>
                <w:top w:val="nil"/>
                <w:left w:val="nil"/>
                <w:bottom w:val="nil"/>
                <w:right w:val="nil"/>
                <w:between w:val="nil"/>
              </w:pBdr>
              <w:spacing w:line="240" w:lineRule="auto"/>
              <w:rPr>
                <w:sz w:val="18"/>
                <w:szCs w:val="18"/>
              </w:rPr>
            </w:pPr>
            <w:r w:rsidRPr="005A4971">
              <w:rPr>
                <w:sz w:val="18"/>
                <w:szCs w:val="18"/>
              </w:rPr>
              <w:t>0.0688</w:t>
            </w:r>
          </w:p>
          <w:p w14:paraId="49EB9446" w14:textId="53E0A7D8" w:rsidR="00FF6827" w:rsidRPr="00C66F63" w:rsidRDefault="005A4971" w:rsidP="005A4971">
            <w:pPr>
              <w:widowControl w:val="0"/>
              <w:pBdr>
                <w:top w:val="nil"/>
                <w:left w:val="nil"/>
                <w:bottom w:val="nil"/>
                <w:right w:val="nil"/>
                <w:between w:val="nil"/>
              </w:pBdr>
              <w:spacing w:line="240" w:lineRule="auto"/>
              <w:rPr>
                <w:sz w:val="18"/>
                <w:szCs w:val="18"/>
              </w:rPr>
            </w:pPr>
            <w:r w:rsidRPr="005A4971">
              <w:rPr>
                <w:sz w:val="18"/>
                <w:szCs w:val="18"/>
              </w:rPr>
              <w:t>0.0449</w:t>
            </w:r>
          </w:p>
        </w:tc>
      </w:tr>
    </w:tbl>
    <w:p w14:paraId="649EA3CB" w14:textId="5F6E1750" w:rsidR="00A701A8" w:rsidRPr="000222ED" w:rsidRDefault="00A701A8" w:rsidP="00A701A8">
      <w:pPr>
        <w:spacing w:before="240" w:after="240"/>
        <w:jc w:val="both"/>
        <w:rPr>
          <w:b/>
          <w:i/>
          <w:sz w:val="18"/>
          <w:szCs w:val="18"/>
        </w:rPr>
      </w:pPr>
      <w:r w:rsidRPr="000222ED">
        <w:rPr>
          <w:b/>
          <w:i/>
          <w:sz w:val="18"/>
          <w:szCs w:val="18"/>
        </w:rPr>
        <w:t xml:space="preserve">Supplementary </w:t>
      </w:r>
      <w:r>
        <w:rPr>
          <w:b/>
          <w:i/>
          <w:sz w:val="18"/>
          <w:szCs w:val="18"/>
        </w:rPr>
        <w:t>Table 1</w:t>
      </w:r>
      <w:r w:rsidRPr="000222ED">
        <w:rPr>
          <w:b/>
          <w:i/>
          <w:sz w:val="18"/>
          <w:szCs w:val="18"/>
        </w:rPr>
        <w:t xml:space="preserve">: </w:t>
      </w:r>
      <w:r w:rsidRPr="00A701A8">
        <w:rPr>
          <w:b/>
          <w:i/>
          <w:sz w:val="18"/>
          <w:szCs w:val="18"/>
        </w:rPr>
        <w:t>β</w:t>
      </w:r>
      <w:proofErr w:type="spellStart"/>
      <w:r w:rsidRPr="00B427A3">
        <w:rPr>
          <w:b/>
          <w:i/>
          <w:sz w:val="18"/>
          <w:szCs w:val="18"/>
          <w:vertAlign w:val="subscript"/>
        </w:rPr>
        <w:t>i</w:t>
      </w:r>
      <w:proofErr w:type="spellEnd"/>
      <w:r w:rsidRPr="00B427A3">
        <w:rPr>
          <w:b/>
          <w:i/>
          <w:sz w:val="18"/>
          <w:szCs w:val="18"/>
          <w:vertAlign w:val="subscript"/>
        </w:rPr>
        <w:t xml:space="preserve"> </w:t>
      </w:r>
      <w:r>
        <w:rPr>
          <w:b/>
          <w:i/>
          <w:sz w:val="18"/>
          <w:szCs w:val="18"/>
        </w:rPr>
        <w:t xml:space="preserve">values used in the model. These </w:t>
      </w:r>
      <w:r w:rsidR="00E5158A">
        <w:rPr>
          <w:b/>
          <w:i/>
          <w:sz w:val="18"/>
          <w:szCs w:val="18"/>
        </w:rPr>
        <w:t>we</w:t>
      </w:r>
      <w:r>
        <w:rPr>
          <w:b/>
          <w:i/>
          <w:sz w:val="18"/>
          <w:szCs w:val="18"/>
        </w:rPr>
        <w:t>re derived at equilibrium.</w:t>
      </w:r>
    </w:p>
    <w:p w14:paraId="3FB7C77A" w14:textId="782B3F50" w:rsidR="0013297E" w:rsidRDefault="0013297E">
      <w:pPr>
        <w:rPr>
          <w:bCs/>
        </w:rPr>
      </w:pPr>
    </w:p>
    <w:p w14:paraId="2E28E7FC" w14:textId="341AA517" w:rsidR="00AC1354" w:rsidRDefault="00AC1354">
      <w:pPr>
        <w:rPr>
          <w:bCs/>
        </w:rPr>
      </w:pPr>
    </w:p>
    <w:p w14:paraId="7D3C30FA" w14:textId="4F2EC8F3" w:rsidR="00AC1354" w:rsidRDefault="00AC1354">
      <w:pPr>
        <w:rPr>
          <w:bCs/>
        </w:rPr>
      </w:pPr>
    </w:p>
    <w:p w14:paraId="50DFDFFA" w14:textId="07BF07EB" w:rsidR="00AC1354" w:rsidRDefault="00AC1354">
      <w:pPr>
        <w:rPr>
          <w:bCs/>
        </w:rPr>
      </w:pPr>
    </w:p>
    <w:p w14:paraId="1AB8EFD1" w14:textId="421815A6" w:rsidR="00F77A6A" w:rsidRDefault="00F77A6A">
      <w:pPr>
        <w:contextualSpacing/>
        <w:rPr>
          <w:b/>
          <w:i/>
          <w:iCs/>
        </w:rPr>
      </w:pPr>
    </w:p>
    <w:p w14:paraId="31034E42" w14:textId="66DE025B" w:rsidR="001E73D3" w:rsidRDefault="001E73D3">
      <w:pPr>
        <w:contextualSpacing/>
        <w:rPr>
          <w:b/>
          <w:i/>
          <w:iCs/>
        </w:rPr>
      </w:pPr>
    </w:p>
    <w:p w14:paraId="6E0D48BA" w14:textId="77777777" w:rsidR="001E73D3" w:rsidRDefault="001E73D3">
      <w:pPr>
        <w:contextualSpacing/>
        <w:rPr>
          <w:b/>
          <w:i/>
          <w:iCs/>
        </w:rPr>
      </w:pPr>
    </w:p>
    <w:p w14:paraId="5D5C9144" w14:textId="1685812A" w:rsidR="00822554" w:rsidRPr="00822554" w:rsidRDefault="00822554">
      <w:pPr>
        <w:contextualSpacing/>
        <w:rPr>
          <w:b/>
          <w:i/>
          <w:iCs/>
        </w:rPr>
      </w:pPr>
      <w:r>
        <w:rPr>
          <w:b/>
          <w:i/>
          <w:iCs/>
        </w:rPr>
        <w:lastRenderedPageBreak/>
        <w:t>Model fitting and sensitivity analysis</w:t>
      </w:r>
    </w:p>
    <w:p w14:paraId="522964F7" w14:textId="1E8716BF" w:rsidR="00781CA2" w:rsidRPr="000222ED" w:rsidRDefault="00560AE5" w:rsidP="0046623F">
      <w:pPr>
        <w:spacing w:before="240" w:after="240"/>
        <w:contextualSpacing/>
        <w:jc w:val="both"/>
      </w:pPr>
      <w:r w:rsidRPr="000222ED">
        <w:t>Supplementary Figure 1 compares our adapted R model to the best model fit from Christensen et al.’s systematic review</w:t>
      </w:r>
      <w:r w:rsidR="00A04373">
        <w:t xml:space="preserve"> [3]</w:t>
      </w:r>
      <w:r w:rsidRPr="000222ED">
        <w:t xml:space="preserve">. The adapted model was subsequently scaled at equilibrium </w:t>
      </w:r>
      <w:r w:rsidR="001C3B93">
        <w:t xml:space="preserve">by 40% </w:t>
      </w:r>
      <w:r w:rsidRPr="000222ED">
        <w:t>to account for the lower community carriage prevalence observed in the 2014 UKMenCar4 study</w:t>
      </w:r>
      <w:r w:rsidR="00A94FCA">
        <w:t xml:space="preserve"> compared with Christensen et al.’s original </w:t>
      </w:r>
      <w:r w:rsidR="006C48AF">
        <w:t xml:space="preserve">model and </w:t>
      </w:r>
      <w:r w:rsidR="00A94FCA">
        <w:t>systematic review</w:t>
      </w:r>
      <w:r w:rsidR="00A04373">
        <w:t xml:space="preserve"> [</w:t>
      </w:r>
      <w:r w:rsidR="0057797A">
        <w:t>3</w:t>
      </w:r>
      <w:r w:rsidR="00A04373">
        <w:t>][</w:t>
      </w:r>
      <w:r w:rsidR="0057797A">
        <w:t>4</w:t>
      </w:r>
      <w:r w:rsidR="00A04373">
        <w:t>]</w:t>
      </w:r>
      <w:r w:rsidR="00A94FCA">
        <w:t>.</w:t>
      </w:r>
      <w:r w:rsidRPr="000222ED">
        <w:t xml:space="preserve"> </w:t>
      </w:r>
    </w:p>
    <w:p w14:paraId="19133804" w14:textId="77777777" w:rsidR="00781CA2" w:rsidRPr="000222ED" w:rsidRDefault="00781CA2">
      <w:pPr>
        <w:spacing w:before="240" w:after="240"/>
      </w:pPr>
    </w:p>
    <w:p w14:paraId="214034E4" w14:textId="163654F4" w:rsidR="00781CA2" w:rsidRPr="000222ED" w:rsidRDefault="007F3FEF">
      <w:pPr>
        <w:spacing w:before="240" w:after="240"/>
        <w:jc w:val="center"/>
        <w:rPr>
          <w:b/>
          <w:i/>
          <w:sz w:val="18"/>
          <w:szCs w:val="18"/>
        </w:rPr>
      </w:pPr>
      <w:r w:rsidRPr="000222ED">
        <w:rPr>
          <w:noProof/>
        </w:rPr>
        <w:drawing>
          <wp:inline distT="0" distB="0" distL="0" distR="0" wp14:anchorId="0F7BEF98" wp14:editId="427CD4AF">
            <wp:extent cx="5917261" cy="2987040"/>
            <wp:effectExtent l="0" t="0" r="762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92" t="1530" r="720" b="4652"/>
                    <a:stretch/>
                  </pic:blipFill>
                  <pic:spPr bwMode="auto">
                    <a:xfrm>
                      <a:off x="0" y="0"/>
                      <a:ext cx="5919909" cy="2988377"/>
                    </a:xfrm>
                    <a:prstGeom prst="rect">
                      <a:avLst/>
                    </a:prstGeom>
                    <a:noFill/>
                    <a:ln>
                      <a:noFill/>
                    </a:ln>
                    <a:extLst>
                      <a:ext uri="{53640926-AAD7-44D8-BBD7-CCE9431645EC}">
                        <a14:shadowObscured xmlns:a14="http://schemas.microsoft.com/office/drawing/2010/main"/>
                      </a:ext>
                    </a:extLst>
                  </pic:spPr>
                </pic:pic>
              </a:graphicData>
            </a:graphic>
          </wp:inline>
        </w:drawing>
      </w:r>
    </w:p>
    <w:p w14:paraId="3F11E4DE" w14:textId="6F76074A" w:rsidR="00E853FC" w:rsidRPr="000222ED" w:rsidRDefault="00E853FC" w:rsidP="0046623F">
      <w:pPr>
        <w:spacing w:before="240" w:after="240"/>
        <w:jc w:val="both"/>
        <w:rPr>
          <w:b/>
          <w:i/>
          <w:sz w:val="18"/>
          <w:szCs w:val="18"/>
        </w:rPr>
      </w:pPr>
      <w:r w:rsidRPr="000222ED">
        <w:rPr>
          <w:b/>
          <w:i/>
          <w:sz w:val="18"/>
          <w:szCs w:val="18"/>
        </w:rPr>
        <w:t>Supplementary Figure 1: Comparison of total UK carriage incidence (all strains) of the adapted model at equilibrium (red) against the best model fit from Christensen et al.’s systematic review</w:t>
      </w:r>
      <w:r w:rsidR="00A04373">
        <w:rPr>
          <w:b/>
          <w:i/>
          <w:sz w:val="18"/>
          <w:szCs w:val="18"/>
        </w:rPr>
        <w:t xml:space="preserve"> </w:t>
      </w:r>
      <w:r w:rsidRPr="000222ED">
        <w:rPr>
          <w:b/>
          <w:i/>
          <w:sz w:val="18"/>
          <w:szCs w:val="18"/>
        </w:rPr>
        <w:t>(blue)</w:t>
      </w:r>
      <w:r w:rsidR="00A04373">
        <w:rPr>
          <w:b/>
          <w:i/>
          <w:sz w:val="18"/>
          <w:szCs w:val="18"/>
        </w:rPr>
        <w:t xml:space="preserve"> </w:t>
      </w:r>
      <w:r w:rsidR="00A04373" w:rsidRPr="00A04373">
        <w:rPr>
          <w:b/>
          <w:iCs/>
          <w:sz w:val="18"/>
          <w:szCs w:val="18"/>
        </w:rPr>
        <w:t>[3]</w:t>
      </w:r>
      <w:r w:rsidRPr="00A04373">
        <w:rPr>
          <w:b/>
          <w:iCs/>
          <w:sz w:val="18"/>
          <w:szCs w:val="18"/>
        </w:rPr>
        <w:t>.</w:t>
      </w:r>
      <w:r w:rsidRPr="000222ED">
        <w:rPr>
          <w:b/>
          <w:i/>
          <w:sz w:val="18"/>
          <w:szCs w:val="18"/>
        </w:rPr>
        <w:t xml:space="preserve"> The adapted model was re-coded in programming language R and here uses the same parameter values as Christensen et al. to allow for comparison.</w:t>
      </w:r>
    </w:p>
    <w:p w14:paraId="5D99170F" w14:textId="4F43A686" w:rsidR="00781CA2" w:rsidRDefault="00781CA2">
      <w:pPr>
        <w:spacing w:before="240" w:after="240"/>
      </w:pPr>
    </w:p>
    <w:p w14:paraId="715842EC" w14:textId="620C50F7" w:rsidR="00E853FC" w:rsidRDefault="00E853FC">
      <w:pPr>
        <w:spacing w:before="240" w:after="240"/>
      </w:pPr>
    </w:p>
    <w:p w14:paraId="0D8B100A" w14:textId="2AF31039" w:rsidR="00E853FC" w:rsidRDefault="00E853FC">
      <w:pPr>
        <w:spacing w:before="240" w:after="240"/>
      </w:pPr>
    </w:p>
    <w:p w14:paraId="49C22436" w14:textId="37F40CBA" w:rsidR="00E853FC" w:rsidRDefault="00E853FC">
      <w:pPr>
        <w:spacing w:before="240" w:after="240"/>
      </w:pPr>
    </w:p>
    <w:p w14:paraId="2898FEA2" w14:textId="106D5622" w:rsidR="00E853FC" w:rsidRDefault="00E853FC">
      <w:pPr>
        <w:spacing w:before="240" w:after="240"/>
      </w:pPr>
    </w:p>
    <w:p w14:paraId="4D8E228E" w14:textId="60D07102" w:rsidR="00E853FC" w:rsidRDefault="00E853FC">
      <w:pPr>
        <w:spacing w:before="240" w:after="240"/>
      </w:pPr>
    </w:p>
    <w:p w14:paraId="378C483F" w14:textId="1BBC6FA8" w:rsidR="00E853FC" w:rsidRDefault="00E853FC">
      <w:pPr>
        <w:spacing w:before="240" w:after="240"/>
      </w:pPr>
    </w:p>
    <w:p w14:paraId="2714408C" w14:textId="4EFCFD65" w:rsidR="00E853FC" w:rsidRDefault="00E853FC">
      <w:pPr>
        <w:spacing w:before="240" w:after="240"/>
      </w:pPr>
    </w:p>
    <w:p w14:paraId="5A91F0EB" w14:textId="398237C7" w:rsidR="00E853FC" w:rsidRDefault="00E853FC">
      <w:pPr>
        <w:spacing w:before="240" w:after="240"/>
      </w:pPr>
    </w:p>
    <w:p w14:paraId="53A2B152" w14:textId="77777777" w:rsidR="0013297E" w:rsidRPr="000222ED" w:rsidRDefault="0013297E">
      <w:pPr>
        <w:spacing w:before="240" w:after="240"/>
      </w:pPr>
    </w:p>
    <w:p w14:paraId="55167077" w14:textId="3BC14A53" w:rsidR="00781CA2" w:rsidRPr="000222ED" w:rsidRDefault="00560AE5" w:rsidP="0046623F">
      <w:pPr>
        <w:spacing w:before="240" w:after="240"/>
        <w:jc w:val="both"/>
      </w:pPr>
      <w:r w:rsidRPr="000222ED">
        <w:lastRenderedPageBreak/>
        <w:t>Supplementary Figure 2 shows our fitting of the adapted model to recently published English datasets. Case counts were fitted to Public Health England data stratified by individual age cohorts</w:t>
      </w:r>
      <w:r w:rsidR="00A04373">
        <w:t xml:space="preserve"> [5]</w:t>
      </w:r>
      <w:r w:rsidRPr="000222ED">
        <w:t xml:space="preserve">. Due to data-sharing constraints, we </w:t>
      </w:r>
      <w:r w:rsidR="00E13407">
        <w:t xml:space="preserve">have </w:t>
      </w:r>
      <w:r w:rsidRPr="000222ED">
        <w:t>only show</w:t>
      </w:r>
      <w:r w:rsidR="00E13407">
        <w:t>n</w:t>
      </w:r>
      <w:r w:rsidRPr="000222ED">
        <w:t xml:space="preserve"> the fitting by broad age groups. Case fitting enabled derivation of a</w:t>
      </w:r>
      <w:r w:rsidR="001E4257" w:rsidRPr="000222ED">
        <w:t>n equilibrium</w:t>
      </w:r>
      <w:r w:rsidRPr="000222ED">
        <w:t xml:space="preserve"> </w:t>
      </w:r>
      <w:proofErr w:type="spellStart"/>
      <w:r w:rsidRPr="00792C10">
        <w:t>case:carrier</w:t>
      </w:r>
      <w:proofErr w:type="spellEnd"/>
      <w:r w:rsidRPr="00792C10">
        <w:t xml:space="preserve"> ratio</w:t>
      </w:r>
      <w:r w:rsidRPr="000222ED">
        <w:t xml:space="preserve"> for England and </w:t>
      </w:r>
      <w:r w:rsidR="00E5158A">
        <w:t>it was</w:t>
      </w:r>
      <w:r w:rsidRPr="000222ED">
        <w:t xml:space="preserve"> </w:t>
      </w:r>
      <w:r w:rsidR="00E5158A" w:rsidRPr="000222ED">
        <w:t>assumed</w:t>
      </w:r>
      <w:r w:rsidRPr="000222ED">
        <w:t xml:space="preserve"> that this </w:t>
      </w:r>
      <w:proofErr w:type="spellStart"/>
      <w:r w:rsidRPr="000222ED">
        <w:t>case:carrier</w:t>
      </w:r>
      <w:proofErr w:type="spellEnd"/>
      <w:r w:rsidRPr="000222ED">
        <w:t xml:space="preserve"> ratio </w:t>
      </w:r>
      <w:r w:rsidR="00E5158A">
        <w:t>wa</w:t>
      </w:r>
      <w:r w:rsidRPr="000222ED">
        <w:t>s applicable to the whole of the UK</w:t>
      </w:r>
      <w:r w:rsidR="00792C10">
        <w:t xml:space="preserve"> (Supplementary Table </w:t>
      </w:r>
      <w:r w:rsidR="00AC1354">
        <w:t>2</w:t>
      </w:r>
      <w:r w:rsidR="00792C10">
        <w:t>)</w:t>
      </w:r>
      <w:r w:rsidRPr="000222ED">
        <w:t>.</w:t>
      </w:r>
    </w:p>
    <w:p w14:paraId="4DAD6C80" w14:textId="77777777" w:rsidR="00C232EC" w:rsidRPr="000222ED" w:rsidRDefault="00C232EC">
      <w:pPr>
        <w:spacing w:before="240" w:after="240"/>
        <w:rPr>
          <w:b/>
          <w:i/>
          <w:sz w:val="18"/>
          <w:szCs w:val="18"/>
        </w:rPr>
      </w:pPr>
    </w:p>
    <w:p w14:paraId="6CA81D5E" w14:textId="4ADC77F4" w:rsidR="00781CA2" w:rsidRPr="000222ED" w:rsidRDefault="004947A5">
      <w:pPr>
        <w:spacing w:before="240" w:after="240"/>
        <w:jc w:val="center"/>
        <w:rPr>
          <w:b/>
          <w:i/>
          <w:sz w:val="18"/>
          <w:szCs w:val="18"/>
        </w:rPr>
      </w:pPr>
      <w:r w:rsidRPr="000222ED">
        <w:rPr>
          <w:noProof/>
        </w:rPr>
        <w:drawing>
          <wp:inline distT="0" distB="0" distL="0" distR="0" wp14:anchorId="3101B4D4" wp14:editId="1B3F0A2B">
            <wp:extent cx="5694868" cy="3009900"/>
            <wp:effectExtent l="0" t="0" r="127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2" t="12589" r="1863" b="3800"/>
                    <a:stretch/>
                  </pic:blipFill>
                  <pic:spPr bwMode="auto">
                    <a:xfrm>
                      <a:off x="0" y="0"/>
                      <a:ext cx="5700797" cy="3013034"/>
                    </a:xfrm>
                    <a:prstGeom prst="rect">
                      <a:avLst/>
                    </a:prstGeom>
                    <a:noFill/>
                    <a:ln>
                      <a:noFill/>
                    </a:ln>
                    <a:extLst>
                      <a:ext uri="{53640926-AAD7-44D8-BBD7-CCE9431645EC}">
                        <a14:shadowObscured xmlns:a14="http://schemas.microsoft.com/office/drawing/2010/main"/>
                      </a:ext>
                    </a:extLst>
                  </pic:spPr>
                </pic:pic>
              </a:graphicData>
            </a:graphic>
          </wp:inline>
        </w:drawing>
      </w:r>
    </w:p>
    <w:p w14:paraId="2AD10A48" w14:textId="2A9820DB" w:rsidR="00E853FC" w:rsidRPr="00A04373" w:rsidRDefault="00E853FC" w:rsidP="0046623F">
      <w:pPr>
        <w:spacing w:before="240" w:after="240"/>
        <w:jc w:val="both"/>
        <w:rPr>
          <w:b/>
          <w:iCs/>
          <w:sz w:val="18"/>
          <w:szCs w:val="18"/>
        </w:rPr>
      </w:pPr>
      <w:r w:rsidRPr="000222ED">
        <w:rPr>
          <w:b/>
          <w:i/>
          <w:sz w:val="18"/>
          <w:szCs w:val="18"/>
        </w:rPr>
        <w:t>Supplementary Figure 2: Comparison of ACWY case number predictions for England for the adapted R model at equilibrium (red) against Public Health England 2015 data for cases of Invasive Meningococcal Disease (blue)</w:t>
      </w:r>
      <w:r w:rsidR="00A04373">
        <w:rPr>
          <w:b/>
          <w:i/>
          <w:sz w:val="18"/>
          <w:szCs w:val="18"/>
        </w:rPr>
        <w:t xml:space="preserve"> </w:t>
      </w:r>
      <w:r w:rsidR="00A04373" w:rsidRPr="00A04373">
        <w:rPr>
          <w:b/>
          <w:iCs/>
          <w:sz w:val="18"/>
          <w:szCs w:val="18"/>
        </w:rPr>
        <w:t>[5]</w:t>
      </w:r>
      <w:r w:rsidRPr="00A04373">
        <w:rPr>
          <w:b/>
          <w:iCs/>
          <w:sz w:val="18"/>
          <w:szCs w:val="18"/>
        </w:rPr>
        <w:t>.</w:t>
      </w:r>
    </w:p>
    <w:p w14:paraId="26F4287A" w14:textId="53652BC3" w:rsidR="00793314" w:rsidRDefault="00793314" w:rsidP="00E853FC">
      <w:pPr>
        <w:spacing w:before="240" w:after="240"/>
        <w:rPr>
          <w:b/>
          <w:i/>
          <w:sz w:val="18"/>
          <w:szCs w:val="18"/>
        </w:rPr>
      </w:pPr>
    </w:p>
    <w:p w14:paraId="50970524" w14:textId="77777777" w:rsidR="00845CBF" w:rsidRPr="000222ED" w:rsidRDefault="00845CBF" w:rsidP="00E853FC">
      <w:pPr>
        <w:spacing w:before="240" w:after="240"/>
        <w:rPr>
          <w:b/>
          <w:i/>
          <w:sz w:val="18"/>
          <w:szCs w:val="18"/>
        </w:rPr>
      </w:pPr>
    </w:p>
    <w:tbl>
      <w:tblPr>
        <w:tblW w:w="2835" w:type="dxa"/>
        <w:jc w:val="center"/>
        <w:tblBorders>
          <w:top w:val="single" w:sz="8" w:space="0" w:color="000000"/>
          <w:left w:val="single" w:sz="8" w:space="0" w:color="000000"/>
          <w:bottom w:val="single" w:sz="8" w:space="0" w:color="000000"/>
          <w:right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34"/>
        <w:gridCol w:w="1701"/>
      </w:tblGrid>
      <w:tr w:rsidR="00793314" w:rsidRPr="00960024" w14:paraId="733D031C" w14:textId="77777777" w:rsidTr="0046623F">
        <w:trPr>
          <w:trHeight w:val="380"/>
          <w:jc w:val="center"/>
        </w:trPr>
        <w:tc>
          <w:tcPr>
            <w:tcW w:w="1134" w:type="dxa"/>
            <w:shd w:val="clear" w:color="auto" w:fill="auto"/>
            <w:tcMar>
              <w:top w:w="100" w:type="dxa"/>
              <w:left w:w="100" w:type="dxa"/>
              <w:bottom w:w="100" w:type="dxa"/>
              <w:right w:w="100" w:type="dxa"/>
            </w:tcMar>
          </w:tcPr>
          <w:p w14:paraId="329155E7" w14:textId="77777777" w:rsidR="00793314" w:rsidRDefault="00793314" w:rsidP="0046623F">
            <w:pPr>
              <w:widowControl w:val="0"/>
              <w:pBdr>
                <w:top w:val="nil"/>
                <w:left w:val="nil"/>
                <w:bottom w:val="nil"/>
                <w:right w:val="nil"/>
                <w:between w:val="nil"/>
              </w:pBdr>
              <w:spacing w:line="240" w:lineRule="auto"/>
              <w:rPr>
                <w:b/>
                <w:sz w:val="18"/>
                <w:szCs w:val="18"/>
              </w:rPr>
            </w:pPr>
            <w:r>
              <w:rPr>
                <w:b/>
                <w:sz w:val="18"/>
                <w:szCs w:val="18"/>
              </w:rPr>
              <w:t>Age group</w:t>
            </w:r>
          </w:p>
          <w:p w14:paraId="34CCC09E" w14:textId="16086594" w:rsidR="00845CBF" w:rsidRPr="00960024" w:rsidRDefault="00845CBF" w:rsidP="00845CBF">
            <w:pPr>
              <w:widowControl w:val="0"/>
              <w:pBdr>
                <w:top w:val="nil"/>
                <w:left w:val="nil"/>
                <w:bottom w:val="nil"/>
                <w:right w:val="nil"/>
                <w:between w:val="nil"/>
              </w:pBdr>
              <w:spacing w:line="240" w:lineRule="auto"/>
              <w:rPr>
                <w:b/>
                <w:sz w:val="18"/>
                <w:szCs w:val="18"/>
              </w:rPr>
            </w:pPr>
            <w:r w:rsidRPr="0046623F">
              <w:rPr>
                <w:b/>
                <w:sz w:val="16"/>
                <w:szCs w:val="16"/>
              </w:rPr>
              <w:t>(years)</w:t>
            </w:r>
          </w:p>
        </w:tc>
        <w:tc>
          <w:tcPr>
            <w:tcW w:w="1701" w:type="dxa"/>
            <w:shd w:val="clear" w:color="auto" w:fill="auto"/>
            <w:tcMar>
              <w:top w:w="100" w:type="dxa"/>
              <w:left w:w="100" w:type="dxa"/>
              <w:bottom w:w="100" w:type="dxa"/>
              <w:right w:w="100" w:type="dxa"/>
            </w:tcMar>
          </w:tcPr>
          <w:p w14:paraId="2E0631BC" w14:textId="1538DC50" w:rsidR="005D67B3" w:rsidRPr="00960024" w:rsidRDefault="00793314" w:rsidP="00845CBF">
            <w:pPr>
              <w:widowControl w:val="0"/>
              <w:pBdr>
                <w:top w:val="nil"/>
                <w:left w:val="nil"/>
                <w:bottom w:val="nil"/>
                <w:right w:val="nil"/>
                <w:between w:val="nil"/>
              </w:pBdr>
              <w:spacing w:line="240" w:lineRule="auto"/>
              <w:rPr>
                <w:b/>
                <w:sz w:val="18"/>
                <w:szCs w:val="18"/>
              </w:rPr>
            </w:pPr>
            <w:proofErr w:type="spellStart"/>
            <w:r>
              <w:rPr>
                <w:b/>
                <w:sz w:val="18"/>
                <w:szCs w:val="18"/>
              </w:rPr>
              <w:t>Case:carrier</w:t>
            </w:r>
            <w:proofErr w:type="spellEnd"/>
            <w:r>
              <w:rPr>
                <w:b/>
                <w:sz w:val="18"/>
                <w:szCs w:val="18"/>
              </w:rPr>
              <w:t xml:space="preserve"> ratio</w:t>
            </w:r>
          </w:p>
        </w:tc>
      </w:tr>
      <w:tr w:rsidR="00793314" w:rsidRPr="00960024" w14:paraId="14DF233D" w14:textId="77777777" w:rsidTr="0046623F">
        <w:trPr>
          <w:trHeight w:val="380"/>
          <w:jc w:val="center"/>
        </w:trPr>
        <w:tc>
          <w:tcPr>
            <w:tcW w:w="1134" w:type="dxa"/>
            <w:shd w:val="clear" w:color="auto" w:fill="auto"/>
            <w:tcMar>
              <w:top w:w="100" w:type="dxa"/>
              <w:left w:w="100" w:type="dxa"/>
              <w:bottom w:w="100" w:type="dxa"/>
              <w:right w:w="100" w:type="dxa"/>
            </w:tcMar>
          </w:tcPr>
          <w:p w14:paraId="7D091CA2" w14:textId="4F31B476" w:rsidR="00793314" w:rsidRDefault="00793314" w:rsidP="00845CBF">
            <w:pPr>
              <w:widowControl w:val="0"/>
              <w:pBdr>
                <w:top w:val="nil"/>
                <w:left w:val="nil"/>
                <w:bottom w:val="nil"/>
                <w:right w:val="nil"/>
                <w:between w:val="nil"/>
              </w:pBdr>
              <w:spacing w:line="240" w:lineRule="auto"/>
              <w:rPr>
                <w:sz w:val="18"/>
                <w:szCs w:val="18"/>
              </w:rPr>
            </w:pPr>
            <w:r>
              <w:rPr>
                <w:sz w:val="18"/>
                <w:szCs w:val="18"/>
              </w:rPr>
              <w:t>&lt;1</w:t>
            </w:r>
          </w:p>
          <w:p w14:paraId="09BFEFBF" w14:textId="70C647F9" w:rsidR="00793314" w:rsidRDefault="00793314" w:rsidP="00845CBF">
            <w:pPr>
              <w:widowControl w:val="0"/>
              <w:pBdr>
                <w:top w:val="nil"/>
                <w:left w:val="nil"/>
                <w:bottom w:val="nil"/>
                <w:right w:val="nil"/>
                <w:between w:val="nil"/>
              </w:pBdr>
              <w:spacing w:line="240" w:lineRule="auto"/>
              <w:rPr>
                <w:sz w:val="18"/>
                <w:szCs w:val="18"/>
              </w:rPr>
            </w:pPr>
            <w:r>
              <w:rPr>
                <w:sz w:val="18"/>
                <w:szCs w:val="18"/>
              </w:rPr>
              <w:t>1-4</w:t>
            </w:r>
          </w:p>
          <w:p w14:paraId="6D51C8FB" w14:textId="146CDB79" w:rsidR="00793314" w:rsidRDefault="00793314" w:rsidP="00845CBF">
            <w:pPr>
              <w:widowControl w:val="0"/>
              <w:pBdr>
                <w:top w:val="nil"/>
                <w:left w:val="nil"/>
                <w:bottom w:val="nil"/>
                <w:right w:val="nil"/>
                <w:between w:val="nil"/>
              </w:pBdr>
              <w:spacing w:line="240" w:lineRule="auto"/>
              <w:rPr>
                <w:sz w:val="18"/>
                <w:szCs w:val="18"/>
              </w:rPr>
            </w:pPr>
            <w:r>
              <w:rPr>
                <w:sz w:val="18"/>
                <w:szCs w:val="18"/>
              </w:rPr>
              <w:t>5-9</w:t>
            </w:r>
            <w:r w:rsidR="00845CBF">
              <w:rPr>
                <w:sz w:val="18"/>
                <w:szCs w:val="18"/>
              </w:rPr>
              <w:t xml:space="preserve"> </w:t>
            </w:r>
            <w:r>
              <w:rPr>
                <w:sz w:val="18"/>
                <w:szCs w:val="18"/>
              </w:rPr>
              <w:br/>
            </w:r>
          </w:p>
          <w:p w14:paraId="7256DEDE" w14:textId="49F44127" w:rsidR="00793314" w:rsidRDefault="00793314" w:rsidP="00845CBF">
            <w:pPr>
              <w:widowControl w:val="0"/>
              <w:pBdr>
                <w:top w:val="nil"/>
                <w:left w:val="nil"/>
                <w:bottom w:val="nil"/>
                <w:right w:val="nil"/>
                <w:between w:val="nil"/>
              </w:pBdr>
              <w:spacing w:line="240" w:lineRule="auto"/>
              <w:rPr>
                <w:sz w:val="18"/>
                <w:szCs w:val="18"/>
              </w:rPr>
            </w:pPr>
            <w:r>
              <w:rPr>
                <w:sz w:val="18"/>
                <w:szCs w:val="18"/>
              </w:rPr>
              <w:t>10-14</w:t>
            </w:r>
          </w:p>
          <w:p w14:paraId="16742CF0" w14:textId="6C3FFB29" w:rsidR="00793314" w:rsidRDefault="00793314" w:rsidP="00845CBF">
            <w:pPr>
              <w:widowControl w:val="0"/>
              <w:pBdr>
                <w:top w:val="nil"/>
                <w:left w:val="nil"/>
                <w:bottom w:val="nil"/>
                <w:right w:val="nil"/>
                <w:between w:val="nil"/>
              </w:pBdr>
              <w:spacing w:line="240" w:lineRule="auto"/>
              <w:rPr>
                <w:sz w:val="18"/>
                <w:szCs w:val="18"/>
              </w:rPr>
            </w:pPr>
            <w:r>
              <w:rPr>
                <w:sz w:val="18"/>
                <w:szCs w:val="18"/>
              </w:rPr>
              <w:t>15-19</w:t>
            </w:r>
          </w:p>
          <w:p w14:paraId="1C2B412A" w14:textId="4B925C44" w:rsidR="00793314" w:rsidRDefault="00793314" w:rsidP="00845CBF">
            <w:pPr>
              <w:widowControl w:val="0"/>
              <w:pBdr>
                <w:top w:val="nil"/>
                <w:left w:val="nil"/>
                <w:bottom w:val="nil"/>
                <w:right w:val="nil"/>
                <w:between w:val="nil"/>
              </w:pBdr>
              <w:spacing w:line="240" w:lineRule="auto"/>
              <w:rPr>
                <w:sz w:val="18"/>
                <w:szCs w:val="18"/>
              </w:rPr>
            </w:pPr>
            <w:r>
              <w:rPr>
                <w:sz w:val="18"/>
                <w:szCs w:val="18"/>
              </w:rPr>
              <w:t>20-24</w:t>
            </w:r>
            <w:r w:rsidR="00845CBF">
              <w:rPr>
                <w:sz w:val="18"/>
                <w:szCs w:val="18"/>
              </w:rPr>
              <w:t xml:space="preserve"> </w:t>
            </w:r>
            <w:r>
              <w:rPr>
                <w:sz w:val="18"/>
                <w:szCs w:val="18"/>
              </w:rPr>
              <w:br/>
            </w:r>
          </w:p>
          <w:p w14:paraId="01BA66E7" w14:textId="32AF8670" w:rsidR="00793314" w:rsidRDefault="00793314" w:rsidP="00845CBF">
            <w:pPr>
              <w:widowControl w:val="0"/>
              <w:pBdr>
                <w:top w:val="nil"/>
                <w:left w:val="nil"/>
                <w:bottom w:val="nil"/>
                <w:right w:val="nil"/>
                <w:between w:val="nil"/>
              </w:pBdr>
              <w:spacing w:line="240" w:lineRule="auto"/>
              <w:rPr>
                <w:sz w:val="18"/>
                <w:szCs w:val="18"/>
              </w:rPr>
            </w:pPr>
            <w:r>
              <w:rPr>
                <w:sz w:val="18"/>
                <w:szCs w:val="18"/>
              </w:rPr>
              <w:t>25-44</w:t>
            </w:r>
          </w:p>
          <w:p w14:paraId="16AFA0EE" w14:textId="1C6370D6" w:rsidR="00793314" w:rsidRDefault="00793314" w:rsidP="00845CBF">
            <w:pPr>
              <w:widowControl w:val="0"/>
              <w:pBdr>
                <w:top w:val="nil"/>
                <w:left w:val="nil"/>
                <w:bottom w:val="nil"/>
                <w:right w:val="nil"/>
                <w:between w:val="nil"/>
              </w:pBdr>
              <w:spacing w:line="240" w:lineRule="auto"/>
              <w:rPr>
                <w:sz w:val="18"/>
                <w:szCs w:val="18"/>
              </w:rPr>
            </w:pPr>
            <w:r>
              <w:rPr>
                <w:sz w:val="18"/>
                <w:szCs w:val="18"/>
              </w:rPr>
              <w:t>45-64</w:t>
            </w:r>
          </w:p>
          <w:p w14:paraId="06AD50DF" w14:textId="1ED12EF9" w:rsidR="00793314" w:rsidRPr="00960024" w:rsidRDefault="00793314" w:rsidP="00845CBF">
            <w:pPr>
              <w:widowControl w:val="0"/>
              <w:pBdr>
                <w:top w:val="nil"/>
                <w:left w:val="nil"/>
                <w:bottom w:val="nil"/>
                <w:right w:val="nil"/>
                <w:between w:val="nil"/>
              </w:pBdr>
              <w:spacing w:line="240" w:lineRule="auto"/>
              <w:rPr>
                <w:sz w:val="18"/>
                <w:szCs w:val="18"/>
              </w:rPr>
            </w:pPr>
            <w:r>
              <w:rPr>
                <w:sz w:val="18"/>
                <w:szCs w:val="18"/>
              </w:rPr>
              <w:t>65+</w:t>
            </w:r>
          </w:p>
        </w:tc>
        <w:tc>
          <w:tcPr>
            <w:tcW w:w="1701" w:type="dxa"/>
            <w:shd w:val="clear" w:color="auto" w:fill="auto"/>
            <w:tcMar>
              <w:top w:w="100" w:type="dxa"/>
              <w:left w:w="100" w:type="dxa"/>
              <w:bottom w:w="100" w:type="dxa"/>
              <w:right w:w="100" w:type="dxa"/>
            </w:tcMar>
          </w:tcPr>
          <w:p w14:paraId="79926F36" w14:textId="77777777" w:rsidR="005D67B3" w:rsidRDefault="00845CBF" w:rsidP="00845CBF">
            <w:pPr>
              <w:widowControl w:val="0"/>
              <w:pBdr>
                <w:top w:val="nil"/>
                <w:left w:val="nil"/>
                <w:bottom w:val="nil"/>
                <w:right w:val="nil"/>
                <w:between w:val="nil"/>
              </w:pBdr>
              <w:spacing w:line="240" w:lineRule="auto"/>
              <w:rPr>
                <w:sz w:val="18"/>
                <w:szCs w:val="18"/>
              </w:rPr>
            </w:pPr>
            <w:r>
              <w:rPr>
                <w:sz w:val="18"/>
                <w:szCs w:val="18"/>
              </w:rPr>
              <w:t>0.004371</w:t>
            </w:r>
          </w:p>
          <w:p w14:paraId="2BFAE731"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0.001098</w:t>
            </w:r>
          </w:p>
          <w:p w14:paraId="32E1A72D"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0.000200</w:t>
            </w:r>
          </w:p>
          <w:p w14:paraId="1299A32E" w14:textId="77777777" w:rsidR="00845CBF" w:rsidRDefault="00845CBF" w:rsidP="00845CBF">
            <w:pPr>
              <w:widowControl w:val="0"/>
              <w:pBdr>
                <w:top w:val="nil"/>
                <w:left w:val="nil"/>
                <w:bottom w:val="nil"/>
                <w:right w:val="nil"/>
                <w:between w:val="nil"/>
              </w:pBdr>
              <w:spacing w:line="240" w:lineRule="auto"/>
              <w:rPr>
                <w:sz w:val="18"/>
                <w:szCs w:val="18"/>
              </w:rPr>
            </w:pPr>
          </w:p>
          <w:p w14:paraId="630BF6D5"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0.000080</w:t>
            </w:r>
          </w:p>
          <w:p w14:paraId="48A701B4"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0.000206</w:t>
            </w:r>
          </w:p>
          <w:p w14:paraId="602244DF"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0.000079</w:t>
            </w:r>
          </w:p>
          <w:p w14:paraId="2CA97CB9" w14:textId="77777777" w:rsidR="00845CBF" w:rsidRDefault="00845CBF" w:rsidP="00845CBF">
            <w:pPr>
              <w:widowControl w:val="0"/>
              <w:pBdr>
                <w:top w:val="nil"/>
                <w:left w:val="nil"/>
                <w:bottom w:val="nil"/>
                <w:right w:val="nil"/>
                <w:between w:val="nil"/>
              </w:pBdr>
              <w:spacing w:line="240" w:lineRule="auto"/>
              <w:rPr>
                <w:sz w:val="18"/>
                <w:szCs w:val="18"/>
              </w:rPr>
            </w:pPr>
          </w:p>
          <w:p w14:paraId="725ABFB7"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0.000056</w:t>
            </w:r>
          </w:p>
          <w:p w14:paraId="5FB60941" w14:textId="77777777" w:rsidR="00845CBF" w:rsidRDefault="00845CBF" w:rsidP="00845CBF">
            <w:pPr>
              <w:widowControl w:val="0"/>
              <w:pBdr>
                <w:top w:val="nil"/>
                <w:left w:val="nil"/>
                <w:bottom w:val="nil"/>
                <w:right w:val="nil"/>
                <w:between w:val="nil"/>
              </w:pBdr>
              <w:spacing w:line="240" w:lineRule="auto"/>
              <w:rPr>
                <w:sz w:val="18"/>
                <w:szCs w:val="18"/>
              </w:rPr>
            </w:pPr>
            <w:r>
              <w:rPr>
                <w:sz w:val="18"/>
                <w:szCs w:val="18"/>
              </w:rPr>
              <w:t>0.000304</w:t>
            </w:r>
          </w:p>
          <w:p w14:paraId="19BE84FA" w14:textId="55198C24" w:rsidR="00845CBF" w:rsidRPr="00960024" w:rsidRDefault="00845CBF" w:rsidP="00845CBF">
            <w:pPr>
              <w:widowControl w:val="0"/>
              <w:pBdr>
                <w:top w:val="nil"/>
                <w:left w:val="nil"/>
                <w:bottom w:val="nil"/>
                <w:right w:val="nil"/>
                <w:between w:val="nil"/>
              </w:pBdr>
              <w:spacing w:line="240" w:lineRule="auto"/>
              <w:rPr>
                <w:sz w:val="18"/>
                <w:szCs w:val="18"/>
              </w:rPr>
            </w:pPr>
            <w:r>
              <w:rPr>
                <w:sz w:val="18"/>
                <w:szCs w:val="18"/>
              </w:rPr>
              <w:t>0.002102</w:t>
            </w:r>
          </w:p>
        </w:tc>
      </w:tr>
    </w:tbl>
    <w:p w14:paraId="2DB80E50" w14:textId="57640663" w:rsidR="007F42AE" w:rsidRPr="000222ED" w:rsidRDefault="007F42AE" w:rsidP="0046623F">
      <w:pPr>
        <w:spacing w:before="240" w:after="240"/>
        <w:jc w:val="both"/>
        <w:rPr>
          <w:b/>
          <w:i/>
          <w:sz w:val="18"/>
          <w:szCs w:val="18"/>
        </w:rPr>
      </w:pPr>
      <w:r w:rsidRPr="000222ED">
        <w:rPr>
          <w:b/>
          <w:i/>
          <w:sz w:val="18"/>
          <w:szCs w:val="18"/>
        </w:rPr>
        <w:t xml:space="preserve">Supplementary </w:t>
      </w:r>
      <w:r>
        <w:rPr>
          <w:b/>
          <w:i/>
          <w:sz w:val="18"/>
          <w:szCs w:val="18"/>
        </w:rPr>
        <w:t xml:space="preserve">Table </w:t>
      </w:r>
      <w:r w:rsidR="00AC1354">
        <w:rPr>
          <w:b/>
          <w:i/>
          <w:sz w:val="18"/>
          <w:szCs w:val="18"/>
        </w:rPr>
        <w:t>2</w:t>
      </w:r>
      <w:r w:rsidRPr="000222ED">
        <w:rPr>
          <w:b/>
          <w:i/>
          <w:sz w:val="18"/>
          <w:szCs w:val="18"/>
        </w:rPr>
        <w:t xml:space="preserve">: </w:t>
      </w:r>
      <w:r>
        <w:rPr>
          <w:b/>
          <w:i/>
          <w:sz w:val="18"/>
          <w:szCs w:val="18"/>
        </w:rPr>
        <w:t xml:space="preserve">Age-specific </w:t>
      </w:r>
      <w:r w:rsidR="005D67B3">
        <w:rPr>
          <w:b/>
          <w:i/>
          <w:sz w:val="18"/>
          <w:szCs w:val="18"/>
        </w:rPr>
        <w:t xml:space="preserve">ACWY </w:t>
      </w:r>
      <w:proofErr w:type="spellStart"/>
      <w:r>
        <w:rPr>
          <w:b/>
          <w:i/>
          <w:sz w:val="18"/>
          <w:szCs w:val="18"/>
        </w:rPr>
        <w:t>case:carrier</w:t>
      </w:r>
      <w:proofErr w:type="spellEnd"/>
      <w:r>
        <w:rPr>
          <w:b/>
          <w:i/>
          <w:sz w:val="18"/>
          <w:szCs w:val="18"/>
        </w:rPr>
        <w:t xml:space="preserve"> ratio used in the model. This ratio </w:t>
      </w:r>
      <w:r w:rsidR="00656AB9">
        <w:rPr>
          <w:b/>
          <w:i/>
          <w:sz w:val="18"/>
          <w:szCs w:val="18"/>
        </w:rPr>
        <w:t>wa</w:t>
      </w:r>
      <w:r>
        <w:rPr>
          <w:b/>
          <w:i/>
          <w:sz w:val="18"/>
          <w:szCs w:val="18"/>
        </w:rPr>
        <w:t xml:space="preserve">s derived </w:t>
      </w:r>
      <w:r w:rsidR="005D67B3">
        <w:rPr>
          <w:b/>
          <w:i/>
          <w:sz w:val="18"/>
          <w:szCs w:val="18"/>
        </w:rPr>
        <w:t xml:space="preserve">from modelled carriage incidence and observed IMD incidence, </w:t>
      </w:r>
      <w:r>
        <w:rPr>
          <w:b/>
          <w:i/>
          <w:sz w:val="18"/>
          <w:szCs w:val="18"/>
        </w:rPr>
        <w:t xml:space="preserve">following pre-vaccination model fitting </w:t>
      </w:r>
      <w:r w:rsidR="00743247">
        <w:rPr>
          <w:b/>
          <w:i/>
          <w:sz w:val="18"/>
          <w:szCs w:val="18"/>
        </w:rPr>
        <w:t>to carriage and case data in Supplementary Figures 1-2</w:t>
      </w:r>
      <w:r w:rsidR="00964510">
        <w:rPr>
          <w:b/>
          <w:i/>
          <w:sz w:val="18"/>
          <w:szCs w:val="18"/>
        </w:rPr>
        <w:t xml:space="preserve"> </w:t>
      </w:r>
      <w:r w:rsidR="00964510" w:rsidRPr="00964510">
        <w:rPr>
          <w:b/>
          <w:iCs/>
          <w:sz w:val="18"/>
          <w:szCs w:val="18"/>
        </w:rPr>
        <w:t>[3][4][5]</w:t>
      </w:r>
      <w:r w:rsidR="00743247" w:rsidRPr="00964510">
        <w:rPr>
          <w:b/>
          <w:iCs/>
          <w:sz w:val="18"/>
          <w:szCs w:val="18"/>
        </w:rPr>
        <w:t>.</w:t>
      </w:r>
      <w:r w:rsidR="001C7902">
        <w:rPr>
          <w:b/>
          <w:i/>
          <w:sz w:val="18"/>
          <w:szCs w:val="18"/>
        </w:rPr>
        <w:t xml:space="preserve"> Due to data sharing constraints, </w:t>
      </w:r>
      <w:r w:rsidR="005D67B3">
        <w:rPr>
          <w:b/>
          <w:i/>
          <w:sz w:val="18"/>
          <w:szCs w:val="18"/>
        </w:rPr>
        <w:t xml:space="preserve">values shown </w:t>
      </w:r>
      <w:r w:rsidR="00656AB9">
        <w:rPr>
          <w:b/>
          <w:i/>
          <w:sz w:val="18"/>
          <w:szCs w:val="18"/>
        </w:rPr>
        <w:t xml:space="preserve">represent an </w:t>
      </w:r>
      <w:r w:rsidR="005D67B3">
        <w:rPr>
          <w:b/>
          <w:i/>
          <w:sz w:val="18"/>
          <w:szCs w:val="18"/>
        </w:rPr>
        <w:t>average across</w:t>
      </w:r>
      <w:r w:rsidR="00793314">
        <w:rPr>
          <w:b/>
          <w:i/>
          <w:sz w:val="18"/>
          <w:szCs w:val="18"/>
        </w:rPr>
        <w:t xml:space="preserve"> broad age groups.</w:t>
      </w:r>
    </w:p>
    <w:p w14:paraId="62E7310B" w14:textId="731E8030" w:rsidR="000020F4" w:rsidRPr="000222ED" w:rsidRDefault="000020F4" w:rsidP="0046623F">
      <w:pPr>
        <w:spacing w:before="240" w:after="240"/>
        <w:jc w:val="both"/>
      </w:pPr>
      <w:r w:rsidRPr="000222ED">
        <w:lastRenderedPageBreak/>
        <w:t xml:space="preserve">Supplementary Figure 3 shows sensitivity analysis on the parameter for </w:t>
      </w:r>
      <w:r w:rsidR="004F1D8B" w:rsidRPr="000222ED">
        <w:t>vaccine efficacy against carriage (</w:t>
      </w:r>
      <w:r w:rsidR="004F1D8B" w:rsidRPr="000222ED">
        <w:sym w:font="Symbol" w:char="F06B"/>
      </w:r>
      <w:r w:rsidR="004F1D8B" w:rsidRPr="000222ED">
        <w:t>). Model fitting suggested a</w:t>
      </w:r>
      <w:r w:rsidR="00FE2F09" w:rsidRPr="000222ED">
        <w:t xml:space="preserve"> suitable</w:t>
      </w:r>
      <w:r w:rsidR="004F1D8B" w:rsidRPr="000222ED">
        <w:t xml:space="preserve"> value of 41% (</w:t>
      </w:r>
      <w:r w:rsidR="004F1D8B" w:rsidRPr="000222ED">
        <w:sym w:font="Symbol" w:char="F06B"/>
      </w:r>
      <w:r w:rsidR="004F1D8B" w:rsidRPr="000222ED">
        <w:t xml:space="preserve"> = 0.41)</w:t>
      </w:r>
      <w:r w:rsidR="00741D72">
        <w:t xml:space="preserve">. We have also depicted model behaviour with </w:t>
      </w:r>
      <w:r w:rsidR="00741D72" w:rsidRPr="000222ED">
        <w:sym w:font="Symbol" w:char="F06B"/>
      </w:r>
      <w:r w:rsidR="00741D72">
        <w:t xml:space="preserve"> =</w:t>
      </w:r>
      <w:r w:rsidR="00FE2F09" w:rsidRPr="000222ED">
        <w:t xml:space="preserve"> </w:t>
      </w:r>
      <w:r w:rsidR="00741D72">
        <w:t>0.36, as</w:t>
      </w:r>
      <w:r w:rsidR="00FE2F09" w:rsidRPr="000222ED">
        <w:t xml:space="preserve"> observed by Read et al.</w:t>
      </w:r>
      <w:r w:rsidR="00964510">
        <w:t xml:space="preserve"> [6]</w:t>
      </w:r>
      <w:r w:rsidR="004F1D8B" w:rsidRPr="000222ED">
        <w:t xml:space="preserve">. </w:t>
      </w:r>
      <w:r w:rsidRPr="000222ED">
        <w:t>We observe</w:t>
      </w:r>
      <w:r w:rsidR="00E13407">
        <w:t xml:space="preserve">d only minor differences </w:t>
      </w:r>
      <w:r w:rsidRPr="000222ED">
        <w:t>in t</w:t>
      </w:r>
      <w:r w:rsidR="00F02832" w:rsidRPr="000222ED">
        <w:t xml:space="preserve">otal </w:t>
      </w:r>
      <w:r w:rsidRPr="000222ED">
        <w:t>carriage prevalence</w:t>
      </w:r>
      <w:r w:rsidR="003B2E6C">
        <w:t>, even when running the model on a long timeframe</w:t>
      </w:r>
      <w:r w:rsidRPr="000222ED">
        <w:t>.</w:t>
      </w:r>
    </w:p>
    <w:p w14:paraId="5A515E84" w14:textId="77777777" w:rsidR="000020F4" w:rsidRPr="000222ED" w:rsidRDefault="000020F4" w:rsidP="000020F4">
      <w:pPr>
        <w:spacing w:before="240" w:after="240"/>
      </w:pPr>
    </w:p>
    <w:p w14:paraId="6C206C3F" w14:textId="41962259" w:rsidR="00F02832" w:rsidRPr="000222ED" w:rsidRDefault="00C232EC">
      <w:pPr>
        <w:spacing w:before="240" w:after="240"/>
      </w:pPr>
      <w:r w:rsidRPr="000222ED">
        <w:rPr>
          <w:noProof/>
        </w:rPr>
        <w:drawing>
          <wp:anchor distT="0" distB="0" distL="114300" distR="114300" simplePos="0" relativeHeight="251661312" behindDoc="0" locked="0" layoutInCell="1" allowOverlap="1" wp14:anchorId="00776296" wp14:editId="3E9507BC">
            <wp:simplePos x="0" y="0"/>
            <wp:positionH relativeFrom="column">
              <wp:posOffset>4528185</wp:posOffset>
            </wp:positionH>
            <wp:positionV relativeFrom="paragraph">
              <wp:posOffset>779780</wp:posOffset>
            </wp:positionV>
            <wp:extent cx="1674240" cy="68580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424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2ED">
        <w:rPr>
          <w:noProof/>
        </w:rPr>
        <w:drawing>
          <wp:inline distT="0" distB="0" distL="0" distR="0" wp14:anchorId="06E9DC74" wp14:editId="2122F3AB">
            <wp:extent cx="4608068" cy="2941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568" cy="2943554"/>
                    </a:xfrm>
                    <a:prstGeom prst="rect">
                      <a:avLst/>
                    </a:prstGeom>
                    <a:noFill/>
                    <a:ln>
                      <a:noFill/>
                    </a:ln>
                  </pic:spPr>
                </pic:pic>
              </a:graphicData>
            </a:graphic>
          </wp:inline>
        </w:drawing>
      </w:r>
    </w:p>
    <w:p w14:paraId="00F31E78" w14:textId="6C7DB99B" w:rsidR="00E853FC" w:rsidRPr="000222ED" w:rsidRDefault="00E853FC" w:rsidP="0046623F">
      <w:pPr>
        <w:spacing w:before="240" w:after="240"/>
        <w:jc w:val="both"/>
        <w:rPr>
          <w:b/>
          <w:i/>
          <w:sz w:val="18"/>
          <w:szCs w:val="18"/>
        </w:rPr>
      </w:pPr>
      <w:r w:rsidRPr="000222ED">
        <w:rPr>
          <w:b/>
          <w:i/>
          <w:sz w:val="18"/>
          <w:szCs w:val="18"/>
        </w:rPr>
        <w:t xml:space="preserve">Supplementary Figure 3: Exploring the parameter value choice for vaccine efficacy against carriage. We </w:t>
      </w:r>
      <w:r w:rsidR="000C4082">
        <w:rPr>
          <w:b/>
          <w:i/>
          <w:sz w:val="18"/>
          <w:szCs w:val="18"/>
        </w:rPr>
        <w:t xml:space="preserve">depict model runs with </w:t>
      </w:r>
      <w:r w:rsidRPr="000222ED">
        <w:rPr>
          <w:b/>
          <w:i/>
          <w:sz w:val="18"/>
          <w:szCs w:val="18"/>
        </w:rPr>
        <w:sym w:font="Symbol" w:char="F06B"/>
      </w:r>
      <w:r w:rsidRPr="000222ED">
        <w:rPr>
          <w:b/>
          <w:i/>
          <w:sz w:val="18"/>
          <w:szCs w:val="18"/>
        </w:rPr>
        <w:t xml:space="preserve"> = 0.36 (Read et al.</w:t>
      </w:r>
      <w:r w:rsidR="00964510">
        <w:rPr>
          <w:b/>
          <w:i/>
          <w:sz w:val="18"/>
          <w:szCs w:val="18"/>
        </w:rPr>
        <w:t xml:space="preserve"> </w:t>
      </w:r>
      <w:r w:rsidR="00964510" w:rsidRPr="00964510">
        <w:rPr>
          <w:b/>
          <w:iCs/>
          <w:sz w:val="18"/>
          <w:szCs w:val="18"/>
        </w:rPr>
        <w:t>[6]</w:t>
      </w:r>
      <w:r w:rsidRPr="000222ED">
        <w:rPr>
          <w:b/>
          <w:i/>
          <w:sz w:val="18"/>
          <w:szCs w:val="18"/>
        </w:rPr>
        <w:t xml:space="preserve">; shown in black) and </w:t>
      </w:r>
      <w:r w:rsidRPr="000222ED">
        <w:rPr>
          <w:b/>
          <w:i/>
          <w:sz w:val="18"/>
          <w:szCs w:val="18"/>
        </w:rPr>
        <w:sym w:font="Symbol" w:char="F06B"/>
      </w:r>
      <w:r w:rsidRPr="000222ED">
        <w:rPr>
          <w:b/>
          <w:i/>
          <w:sz w:val="18"/>
          <w:szCs w:val="18"/>
        </w:rPr>
        <w:t xml:space="preserve"> = 0.41 (base assumption; shown in grey).</w:t>
      </w:r>
    </w:p>
    <w:p w14:paraId="6BC9799B" w14:textId="77777777" w:rsidR="00E853FC" w:rsidRDefault="00E853FC">
      <w:pPr>
        <w:spacing w:before="240" w:after="240"/>
      </w:pPr>
    </w:p>
    <w:p w14:paraId="7DB28E9C" w14:textId="77777777" w:rsidR="00E853FC" w:rsidRDefault="00E853FC">
      <w:pPr>
        <w:spacing w:before="240" w:after="240"/>
      </w:pPr>
    </w:p>
    <w:p w14:paraId="53EEDE39" w14:textId="77777777" w:rsidR="00E853FC" w:rsidRDefault="00E853FC">
      <w:pPr>
        <w:spacing w:before="240" w:after="240"/>
      </w:pPr>
    </w:p>
    <w:p w14:paraId="0082166D" w14:textId="77777777" w:rsidR="00E853FC" w:rsidRDefault="00E853FC">
      <w:pPr>
        <w:spacing w:before="240" w:after="240"/>
      </w:pPr>
    </w:p>
    <w:p w14:paraId="1BAFB3F8" w14:textId="77777777" w:rsidR="00E853FC" w:rsidRDefault="00E853FC">
      <w:pPr>
        <w:spacing w:before="240" w:after="240"/>
      </w:pPr>
    </w:p>
    <w:p w14:paraId="6737D378" w14:textId="77777777" w:rsidR="00E853FC" w:rsidRDefault="00E853FC">
      <w:pPr>
        <w:spacing w:before="240" w:after="240"/>
      </w:pPr>
    </w:p>
    <w:p w14:paraId="38C991A4" w14:textId="77777777" w:rsidR="00E853FC" w:rsidRDefault="00E853FC">
      <w:pPr>
        <w:spacing w:before="240" w:after="240"/>
      </w:pPr>
    </w:p>
    <w:p w14:paraId="1B922847" w14:textId="77777777" w:rsidR="00E853FC" w:rsidRDefault="00E853FC">
      <w:pPr>
        <w:spacing w:before="240" w:after="240"/>
      </w:pPr>
    </w:p>
    <w:p w14:paraId="5151AE61" w14:textId="77777777" w:rsidR="00E853FC" w:rsidRDefault="00E853FC">
      <w:pPr>
        <w:spacing w:before="240" w:after="240"/>
      </w:pPr>
    </w:p>
    <w:p w14:paraId="00C49DFB" w14:textId="77777777" w:rsidR="00E853FC" w:rsidRDefault="00E853FC">
      <w:pPr>
        <w:spacing w:before="240" w:after="240"/>
      </w:pPr>
    </w:p>
    <w:p w14:paraId="5867A7A5" w14:textId="77777777" w:rsidR="00E853FC" w:rsidRDefault="00E853FC">
      <w:pPr>
        <w:spacing w:before="240" w:after="240"/>
      </w:pPr>
    </w:p>
    <w:p w14:paraId="2C73B008" w14:textId="14E67166" w:rsidR="00781CA2" w:rsidRPr="000222ED" w:rsidRDefault="00560AE5" w:rsidP="0046623F">
      <w:pPr>
        <w:spacing w:before="240" w:after="240"/>
        <w:jc w:val="both"/>
      </w:pPr>
      <w:r w:rsidRPr="000222ED">
        <w:lastRenderedPageBreak/>
        <w:t xml:space="preserve">Supplementary Figure </w:t>
      </w:r>
      <w:r w:rsidR="000020F4" w:rsidRPr="000222ED">
        <w:t>4</w:t>
      </w:r>
      <w:r w:rsidRPr="000222ED">
        <w:t xml:space="preserve"> show</w:t>
      </w:r>
      <w:r w:rsidR="006B734A" w:rsidRPr="000222ED">
        <w:t>s</w:t>
      </w:r>
      <w:r w:rsidRPr="000222ED">
        <w:t xml:space="preserve"> sensitivity analysis on the parameter for reduced vaccine uptake (during the pandemic timeframe). We explore</w:t>
      </w:r>
      <w:r w:rsidR="00A947E9">
        <w:t>d</w:t>
      </w:r>
      <w:r w:rsidRPr="000222ED">
        <w:t xml:space="preserve"> a</w:t>
      </w:r>
      <w:r w:rsidR="006B734A" w:rsidRPr="000222ED">
        <w:t xml:space="preserve"> larger</w:t>
      </w:r>
      <w:r w:rsidRPr="000222ED">
        <w:t xml:space="preserve"> reduced uptake of 50% and compare to the data-informed value of 34%. We observe</w:t>
      </w:r>
      <w:r w:rsidR="00A947E9">
        <w:t>d only minor differences in carriage prevalence.</w:t>
      </w:r>
    </w:p>
    <w:p w14:paraId="6D34F746" w14:textId="77777777" w:rsidR="00781CA2" w:rsidRPr="000222ED" w:rsidRDefault="00781CA2">
      <w:pPr>
        <w:spacing w:before="240" w:after="240"/>
      </w:pPr>
    </w:p>
    <w:p w14:paraId="32586467" w14:textId="7B08FF92" w:rsidR="00781CA2" w:rsidRPr="000222ED" w:rsidRDefault="004274D1" w:rsidP="004274D1">
      <w:pPr>
        <w:spacing w:before="240" w:after="240"/>
        <w:rPr>
          <w:b/>
          <w:i/>
          <w:sz w:val="18"/>
          <w:szCs w:val="18"/>
        </w:rPr>
      </w:pPr>
      <w:r w:rsidRPr="000222ED">
        <w:rPr>
          <w:b/>
          <w:i/>
          <w:noProof/>
          <w:sz w:val="18"/>
          <w:szCs w:val="18"/>
        </w:rPr>
        <w:drawing>
          <wp:anchor distT="0" distB="0" distL="114300" distR="114300" simplePos="0" relativeHeight="251658240" behindDoc="0" locked="0" layoutInCell="1" allowOverlap="1" wp14:anchorId="21F7C620" wp14:editId="781D3C82">
            <wp:simplePos x="0" y="0"/>
            <wp:positionH relativeFrom="column">
              <wp:posOffset>4808220</wp:posOffset>
            </wp:positionH>
            <wp:positionV relativeFrom="paragraph">
              <wp:posOffset>1382395</wp:posOffset>
            </wp:positionV>
            <wp:extent cx="1493671" cy="66268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3671" cy="662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A63" w:rsidRPr="000222ED">
        <w:rPr>
          <w:b/>
          <w:i/>
          <w:noProof/>
          <w:sz w:val="18"/>
          <w:szCs w:val="18"/>
        </w:rPr>
        <w:drawing>
          <wp:inline distT="0" distB="0" distL="0" distR="0" wp14:anchorId="0EDD7A0D" wp14:editId="70C254D3">
            <wp:extent cx="4858385" cy="37032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a:extLst>
                        <a:ext uri="{28A0092B-C50C-407E-A947-70E740481C1C}">
                          <a14:useLocalDpi xmlns:a14="http://schemas.microsoft.com/office/drawing/2010/main" val="0"/>
                        </a:ext>
                      </a:extLst>
                    </a:blip>
                    <a:srcRect t="2017"/>
                    <a:stretch/>
                  </pic:blipFill>
                  <pic:spPr bwMode="auto">
                    <a:xfrm>
                      <a:off x="0" y="0"/>
                      <a:ext cx="4877041" cy="3717482"/>
                    </a:xfrm>
                    <a:prstGeom prst="rect">
                      <a:avLst/>
                    </a:prstGeom>
                    <a:noFill/>
                    <a:ln>
                      <a:noFill/>
                    </a:ln>
                    <a:extLst>
                      <a:ext uri="{53640926-AAD7-44D8-BBD7-CCE9431645EC}">
                        <a14:shadowObscured xmlns:a14="http://schemas.microsoft.com/office/drawing/2010/main"/>
                      </a:ext>
                    </a:extLst>
                  </pic:spPr>
                </pic:pic>
              </a:graphicData>
            </a:graphic>
          </wp:inline>
        </w:drawing>
      </w:r>
    </w:p>
    <w:p w14:paraId="2151840D" w14:textId="2F0B7B55" w:rsidR="00E853FC" w:rsidRPr="000222ED" w:rsidRDefault="00E853FC" w:rsidP="0046623F">
      <w:pPr>
        <w:spacing w:before="240" w:after="240"/>
        <w:jc w:val="both"/>
        <w:rPr>
          <w:b/>
          <w:i/>
          <w:sz w:val="18"/>
          <w:szCs w:val="18"/>
        </w:rPr>
      </w:pPr>
      <w:r w:rsidRPr="000222ED">
        <w:rPr>
          <w:b/>
          <w:i/>
          <w:sz w:val="18"/>
          <w:szCs w:val="18"/>
        </w:rPr>
        <w:t>Supplementary Figure 4: Exploring the parameter value choice for reduced vaccine uptake. We r</w:t>
      </w:r>
      <w:r w:rsidR="00A947E9">
        <w:rPr>
          <w:b/>
          <w:i/>
          <w:sz w:val="18"/>
          <w:szCs w:val="18"/>
        </w:rPr>
        <w:t>a</w:t>
      </w:r>
      <w:r w:rsidRPr="000222ED">
        <w:rPr>
          <w:b/>
          <w:i/>
          <w:sz w:val="18"/>
          <w:szCs w:val="18"/>
        </w:rPr>
        <w:t xml:space="preserve">n the model with a 50% reduction in vaccine uptake during the pandemic timeframe (purple). This </w:t>
      </w:r>
      <w:r w:rsidR="00A947E9">
        <w:rPr>
          <w:b/>
          <w:i/>
          <w:sz w:val="18"/>
          <w:szCs w:val="18"/>
        </w:rPr>
        <w:t>wa</w:t>
      </w:r>
      <w:r w:rsidRPr="000222ED">
        <w:rPr>
          <w:b/>
          <w:i/>
          <w:sz w:val="18"/>
          <w:szCs w:val="18"/>
        </w:rPr>
        <w:t xml:space="preserve">s compared to the data-informed value of 34% (orange). These scenarios </w:t>
      </w:r>
      <w:r w:rsidR="00A947E9">
        <w:rPr>
          <w:b/>
          <w:i/>
          <w:sz w:val="18"/>
          <w:szCs w:val="18"/>
        </w:rPr>
        <w:t>we</w:t>
      </w:r>
      <w:r w:rsidRPr="000222ED">
        <w:rPr>
          <w:b/>
          <w:i/>
          <w:sz w:val="18"/>
          <w:szCs w:val="18"/>
        </w:rPr>
        <w:t>re run with the assumption of no social distancing.</w:t>
      </w:r>
    </w:p>
    <w:p w14:paraId="74EB3F44" w14:textId="77777777" w:rsidR="004274D1" w:rsidRPr="000222ED" w:rsidRDefault="004274D1">
      <w:pPr>
        <w:spacing w:before="240" w:after="240"/>
        <w:rPr>
          <w:b/>
          <w:i/>
          <w:sz w:val="18"/>
          <w:szCs w:val="18"/>
        </w:rPr>
      </w:pPr>
    </w:p>
    <w:p w14:paraId="17935AB9" w14:textId="77777777" w:rsidR="00E853FC" w:rsidRDefault="00E853FC">
      <w:pPr>
        <w:spacing w:before="240" w:after="240"/>
      </w:pPr>
    </w:p>
    <w:p w14:paraId="6EFB8376" w14:textId="77777777" w:rsidR="00E853FC" w:rsidRDefault="00E853FC">
      <w:pPr>
        <w:spacing w:before="240" w:after="240"/>
      </w:pPr>
    </w:p>
    <w:p w14:paraId="132674E0" w14:textId="77777777" w:rsidR="00E853FC" w:rsidRDefault="00E853FC">
      <w:pPr>
        <w:spacing w:before="240" w:after="240"/>
      </w:pPr>
    </w:p>
    <w:p w14:paraId="53BDCFC9" w14:textId="77777777" w:rsidR="00E853FC" w:rsidRDefault="00E853FC">
      <w:pPr>
        <w:spacing w:before="240" w:after="240"/>
      </w:pPr>
    </w:p>
    <w:p w14:paraId="3034A8E9" w14:textId="77777777" w:rsidR="00E853FC" w:rsidRDefault="00E853FC">
      <w:pPr>
        <w:spacing w:before="240" w:after="240"/>
      </w:pPr>
    </w:p>
    <w:p w14:paraId="220BB894" w14:textId="77777777" w:rsidR="00E853FC" w:rsidRDefault="00E853FC">
      <w:pPr>
        <w:spacing w:before="240" w:after="240"/>
      </w:pPr>
    </w:p>
    <w:p w14:paraId="4F0807A0" w14:textId="77777777" w:rsidR="00E853FC" w:rsidRDefault="00E853FC">
      <w:pPr>
        <w:spacing w:before="240" w:after="240"/>
      </w:pPr>
    </w:p>
    <w:p w14:paraId="182D5DBB" w14:textId="27DA72C8" w:rsidR="00980E7D" w:rsidRPr="0004651E" w:rsidRDefault="00980E7D" w:rsidP="0046623F">
      <w:pPr>
        <w:spacing w:before="240" w:after="240"/>
        <w:jc w:val="both"/>
      </w:pPr>
      <w:r w:rsidRPr="000222ED">
        <w:lastRenderedPageBreak/>
        <w:t>Supplementary Figure</w:t>
      </w:r>
      <w:r w:rsidR="00785E10">
        <w:t>s</w:t>
      </w:r>
      <w:r w:rsidRPr="000222ED">
        <w:t xml:space="preserve"> 5</w:t>
      </w:r>
      <w:r w:rsidR="00785E10">
        <w:t>-6</w:t>
      </w:r>
      <w:r w:rsidRPr="000222ED">
        <w:t xml:space="preserve"> depict sensitivity analysis on the parameter for pandemic social distancing. Instead of 60% and 75% reduction in daily social contacts for periods of school </w:t>
      </w:r>
      <w:r w:rsidR="00EC24C6" w:rsidRPr="000222ED">
        <w:t xml:space="preserve">openings and </w:t>
      </w:r>
      <w:r w:rsidRPr="000222ED">
        <w:t>closures, we model</w:t>
      </w:r>
      <w:r w:rsidR="00A947E9">
        <w:t>led</w:t>
      </w:r>
      <w:r w:rsidRPr="000222ED">
        <w:t xml:space="preserve"> a 40% and 50% reduction respectively</w:t>
      </w:r>
      <w:r w:rsidR="005A42F9">
        <w:t xml:space="preserve"> in Supplementary </w:t>
      </w:r>
      <w:r w:rsidR="005A42F9" w:rsidRPr="0004651E">
        <w:t>Figure 5</w:t>
      </w:r>
      <w:r w:rsidRPr="0004651E">
        <w:t xml:space="preserve">. </w:t>
      </w:r>
      <w:r w:rsidR="00EC24C6" w:rsidRPr="0004651E">
        <w:t xml:space="preserve">An immediate but long-lasting reduction in carriage </w:t>
      </w:r>
      <w:r w:rsidR="00A947E9">
        <w:t>wa</w:t>
      </w:r>
      <w:r w:rsidR="00EC24C6" w:rsidRPr="0004651E">
        <w:t>s observed in both cases.</w:t>
      </w:r>
    </w:p>
    <w:p w14:paraId="6B022C2A" w14:textId="26E8207D" w:rsidR="00785E10" w:rsidRPr="000222ED" w:rsidRDefault="00785E10" w:rsidP="0046623F">
      <w:pPr>
        <w:spacing w:before="240" w:after="240"/>
        <w:jc w:val="both"/>
      </w:pPr>
      <w:r w:rsidRPr="0004651E">
        <w:t>In Supplementary Figure 6, we use</w:t>
      </w:r>
      <w:r w:rsidR="00B37175">
        <w:t>d</w:t>
      </w:r>
      <w:r w:rsidRPr="0004651E">
        <w:t xml:space="preserve"> an age-stratified reduction in daily social contacts, informed by </w:t>
      </w:r>
      <w:proofErr w:type="spellStart"/>
      <w:r w:rsidRPr="0004651E">
        <w:t>Gimma</w:t>
      </w:r>
      <w:proofErr w:type="spellEnd"/>
      <w:r w:rsidRPr="0004651E">
        <w:t xml:space="preserve"> et al.</w:t>
      </w:r>
      <w:r w:rsidR="00964510">
        <w:t xml:space="preserve"> [7]</w:t>
      </w:r>
      <w:r w:rsidRPr="0004651E">
        <w:t>.</w:t>
      </w:r>
      <w:r w:rsidR="00BD4198" w:rsidRPr="0004651E">
        <w:t xml:space="preserve"> </w:t>
      </w:r>
      <w:r w:rsidR="005A42F9" w:rsidRPr="0004651E">
        <w:t>For periods</w:t>
      </w:r>
      <w:r w:rsidR="00BD4198">
        <w:t xml:space="preserve"> of school closure (April, May, June 2020</w:t>
      </w:r>
      <w:r w:rsidR="005A42F9">
        <w:t xml:space="preserve"> and January, February, March 2021</w:t>
      </w:r>
      <w:r w:rsidR="00B4300C">
        <w:t>)</w:t>
      </w:r>
      <w:r w:rsidR="005A42F9">
        <w:t>,</w:t>
      </w:r>
      <w:r w:rsidR="00BD4198">
        <w:t xml:space="preserve"> </w:t>
      </w:r>
      <w:proofErr w:type="spellStart"/>
      <w:r w:rsidR="00BD4198">
        <w:t>Gimma</w:t>
      </w:r>
      <w:proofErr w:type="spellEnd"/>
      <w:r w:rsidR="00BD4198">
        <w:t xml:space="preserve"> et al. observe</w:t>
      </w:r>
      <w:r w:rsidR="00B37175">
        <w:t>d</w:t>
      </w:r>
      <w:r w:rsidR="00BD4198">
        <w:t xml:space="preserve"> a</w:t>
      </w:r>
      <w:r w:rsidR="005A42F9">
        <w:t>n approximate</w:t>
      </w:r>
      <w:r w:rsidR="00BD4198">
        <w:t xml:space="preserve"> </w:t>
      </w:r>
      <w:r w:rsidR="005A42F9">
        <w:t>54</w:t>
      </w:r>
      <w:r w:rsidR="00BD4198">
        <w:t>% reduction in mean daily social contacts among 0-4 year olds</w:t>
      </w:r>
      <w:r w:rsidR="00B4300C">
        <w:t xml:space="preserve">, </w:t>
      </w:r>
      <w:r w:rsidR="005A42F9">
        <w:t>74</w:t>
      </w:r>
      <w:r w:rsidR="00B4300C">
        <w:t xml:space="preserve">% reduction for 5-17 year olds, </w:t>
      </w:r>
      <w:r w:rsidR="005A42F9">
        <w:t>77</w:t>
      </w:r>
      <w:r w:rsidR="00B4300C">
        <w:t xml:space="preserve">% reduction for 18-59 year olds, and </w:t>
      </w:r>
      <w:r w:rsidR="005A42F9">
        <w:t>78</w:t>
      </w:r>
      <w:r w:rsidR="00B4300C">
        <w:t>% reduction for 60+ year olds, when</w:t>
      </w:r>
      <w:r w:rsidR="005A42F9">
        <w:t xml:space="preserve"> taking an average of the two periods of school closure</w:t>
      </w:r>
      <w:r w:rsidR="009F7D59">
        <w:t xml:space="preserve"> used in our model</w:t>
      </w:r>
      <w:r w:rsidR="005A42F9">
        <w:t xml:space="preserve"> and</w:t>
      </w:r>
      <w:r w:rsidR="00B4300C">
        <w:t xml:space="preserve"> compar</w:t>
      </w:r>
      <w:r w:rsidR="005A42F9">
        <w:t>ing</w:t>
      </w:r>
      <w:r w:rsidR="00B4300C">
        <w:t xml:space="preserve"> to the POLYMOD pre-pandemic baselines</w:t>
      </w:r>
      <w:r w:rsidR="00397F96">
        <w:t xml:space="preserve"> for each age group</w:t>
      </w:r>
      <w:r w:rsidR="00B4300C">
        <w:t>. Reduction i</w:t>
      </w:r>
      <w:r w:rsidR="005A42F9">
        <w:t>n</w:t>
      </w:r>
      <w:r w:rsidR="00B4300C">
        <w:t xml:space="preserve"> social mixing varie</w:t>
      </w:r>
      <w:r w:rsidR="00B37175">
        <w:t>d</w:t>
      </w:r>
      <w:r w:rsidR="00B4300C">
        <w:t xml:space="preserve"> </w:t>
      </w:r>
      <w:r w:rsidR="00397F96">
        <w:t xml:space="preserve">more by </w:t>
      </w:r>
      <w:r w:rsidR="00B4300C">
        <w:t xml:space="preserve">age group for the period July to December 2020 when pandemic restrictions were less stringent: 38% reduction for </w:t>
      </w:r>
      <w:proofErr w:type="gramStart"/>
      <w:r w:rsidR="00B4300C">
        <w:t>0-4 year olds</w:t>
      </w:r>
      <w:proofErr w:type="gramEnd"/>
      <w:r w:rsidR="00B4300C">
        <w:t xml:space="preserve">, 48% reduction for 5-17 year olds, 68% for 18-59 year olds, and 70% for 60+ year </w:t>
      </w:r>
      <w:r w:rsidR="00B4300C" w:rsidRPr="005A42F9">
        <w:t>olds</w:t>
      </w:r>
      <w:r w:rsidR="00964510">
        <w:t xml:space="preserve"> [7]</w:t>
      </w:r>
      <w:r w:rsidR="00B4300C" w:rsidRPr="005A42F9">
        <w:t>.</w:t>
      </w:r>
      <w:r w:rsidR="00B4300C">
        <w:t xml:space="preserve"> </w:t>
      </w:r>
      <w:r w:rsidR="005A42F9">
        <w:t>When running the model with these values to capture age-specific pandemic social distancing, we observe</w:t>
      </w:r>
      <w:r w:rsidR="00B37175">
        <w:t>d</w:t>
      </w:r>
      <w:r w:rsidR="005A42F9">
        <w:t xml:space="preserve"> similar outputs to the original age-independent </w:t>
      </w:r>
      <w:r w:rsidR="00397F96">
        <w:t>‘P</w:t>
      </w:r>
      <w:r w:rsidR="005A42F9">
        <w:t>andemic</w:t>
      </w:r>
      <w:r w:rsidR="00397F96">
        <w:t>’</w:t>
      </w:r>
      <w:r w:rsidR="005A42F9">
        <w:t xml:space="preserve"> scenario.</w:t>
      </w:r>
      <w:r w:rsidR="00E4321C">
        <w:t xml:space="preserve"> Carriage prevalence </w:t>
      </w:r>
      <w:r w:rsidR="00B37175">
        <w:t>wa</w:t>
      </w:r>
      <w:r w:rsidR="00E4321C">
        <w:t>s slightly underestimated in adolescents and slightly overestimated in young adults.</w:t>
      </w:r>
      <w:r w:rsidR="005A42F9">
        <w:t xml:space="preserve"> </w:t>
      </w:r>
    </w:p>
    <w:p w14:paraId="2DDDC8D9" w14:textId="77777777" w:rsidR="00980E7D" w:rsidRPr="000222ED" w:rsidRDefault="00980E7D">
      <w:pPr>
        <w:spacing w:before="240" w:after="240"/>
        <w:rPr>
          <w:b/>
          <w:i/>
          <w:sz w:val="18"/>
          <w:szCs w:val="18"/>
        </w:rPr>
      </w:pPr>
    </w:p>
    <w:p w14:paraId="599D1975" w14:textId="57A46190" w:rsidR="00781CA2" w:rsidRPr="000222ED" w:rsidRDefault="009E65A8">
      <w:pPr>
        <w:spacing w:before="240" w:after="240"/>
        <w:rPr>
          <w:b/>
          <w:i/>
          <w:sz w:val="18"/>
          <w:szCs w:val="18"/>
        </w:rPr>
      </w:pPr>
      <w:r w:rsidRPr="000222ED">
        <w:rPr>
          <w:b/>
          <w:i/>
          <w:noProof/>
          <w:sz w:val="18"/>
          <w:szCs w:val="18"/>
        </w:rPr>
        <w:drawing>
          <wp:anchor distT="0" distB="0" distL="114300" distR="114300" simplePos="0" relativeHeight="251662336" behindDoc="0" locked="0" layoutInCell="1" allowOverlap="1" wp14:anchorId="1E5D84AA" wp14:editId="6A38EB33">
            <wp:simplePos x="0" y="0"/>
            <wp:positionH relativeFrom="margin">
              <wp:posOffset>4462780</wp:posOffset>
            </wp:positionH>
            <wp:positionV relativeFrom="paragraph">
              <wp:posOffset>1172210</wp:posOffset>
            </wp:positionV>
            <wp:extent cx="1668745" cy="883920"/>
            <wp:effectExtent l="0" t="0" r="825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87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2ED">
        <w:rPr>
          <w:b/>
          <w:i/>
          <w:noProof/>
          <w:sz w:val="18"/>
          <w:szCs w:val="18"/>
        </w:rPr>
        <w:drawing>
          <wp:inline distT="0" distB="0" distL="0" distR="0" wp14:anchorId="4F6A833D" wp14:editId="072675DE">
            <wp:extent cx="4450908" cy="348615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985" cy="3503442"/>
                    </a:xfrm>
                    <a:prstGeom prst="rect">
                      <a:avLst/>
                    </a:prstGeom>
                    <a:noFill/>
                    <a:ln>
                      <a:noFill/>
                    </a:ln>
                  </pic:spPr>
                </pic:pic>
              </a:graphicData>
            </a:graphic>
          </wp:inline>
        </w:drawing>
      </w:r>
    </w:p>
    <w:p w14:paraId="229678D1" w14:textId="1152289C" w:rsidR="00E853FC" w:rsidRPr="000222ED" w:rsidRDefault="00E853FC" w:rsidP="0046623F">
      <w:pPr>
        <w:spacing w:before="240" w:after="240"/>
        <w:jc w:val="both"/>
        <w:rPr>
          <w:b/>
          <w:i/>
          <w:sz w:val="18"/>
          <w:szCs w:val="18"/>
        </w:rPr>
      </w:pPr>
      <w:r w:rsidRPr="000222ED">
        <w:rPr>
          <w:b/>
          <w:i/>
          <w:sz w:val="18"/>
          <w:szCs w:val="18"/>
        </w:rPr>
        <w:t xml:space="preserve">Supplementary Figure 5: Exploring the parameter value choice for reduction in daily social contacts over the pandemic timeframe. A 40% and 50% reduction for periods of school openings and closures </w:t>
      </w:r>
      <w:r w:rsidR="00970F84">
        <w:rPr>
          <w:b/>
          <w:i/>
          <w:sz w:val="18"/>
          <w:szCs w:val="18"/>
        </w:rPr>
        <w:t>were</w:t>
      </w:r>
      <w:r w:rsidRPr="000222ED">
        <w:rPr>
          <w:b/>
          <w:i/>
          <w:sz w:val="18"/>
          <w:szCs w:val="18"/>
        </w:rPr>
        <w:t xml:space="preserve"> modelled (light blue) and compared to the baseline assumption of 60% and 75% (red). The standard “no pandemic” scenario </w:t>
      </w:r>
      <w:r w:rsidR="00970F84">
        <w:rPr>
          <w:b/>
          <w:i/>
          <w:sz w:val="18"/>
          <w:szCs w:val="18"/>
        </w:rPr>
        <w:t>wa</w:t>
      </w:r>
      <w:r w:rsidRPr="000222ED">
        <w:rPr>
          <w:b/>
          <w:i/>
          <w:sz w:val="18"/>
          <w:szCs w:val="18"/>
        </w:rPr>
        <w:t xml:space="preserve">s also plotted for comparison (grey). </w:t>
      </w:r>
    </w:p>
    <w:p w14:paraId="1B859AAC" w14:textId="01A5BDA1" w:rsidR="009E65A8" w:rsidRDefault="009E65A8">
      <w:pPr>
        <w:spacing w:before="240" w:after="240"/>
        <w:rPr>
          <w:b/>
        </w:rPr>
      </w:pPr>
    </w:p>
    <w:p w14:paraId="4E68697B" w14:textId="11A7A23B" w:rsidR="00E853FC" w:rsidRDefault="00E853FC">
      <w:pPr>
        <w:spacing w:before="240" w:after="240"/>
        <w:rPr>
          <w:b/>
        </w:rPr>
      </w:pPr>
    </w:p>
    <w:p w14:paraId="547841A8" w14:textId="5730C2FA" w:rsidR="0004651E" w:rsidRDefault="00850D69" w:rsidP="00B427A3">
      <w:pPr>
        <w:spacing w:before="240" w:after="240"/>
        <w:jc w:val="center"/>
        <w:rPr>
          <w:b/>
        </w:rPr>
      </w:pPr>
      <w:r w:rsidRPr="00850D69">
        <w:rPr>
          <w:b/>
          <w:noProof/>
        </w:rPr>
        <w:lastRenderedPageBreak/>
        <mc:AlternateContent>
          <mc:Choice Requires="wps">
            <w:drawing>
              <wp:anchor distT="45720" distB="45720" distL="114300" distR="114300" simplePos="0" relativeHeight="251664384" behindDoc="0" locked="0" layoutInCell="1" allowOverlap="1" wp14:anchorId="0998C09F" wp14:editId="3EB17EA4">
                <wp:simplePos x="0" y="0"/>
                <wp:positionH relativeFrom="margin">
                  <wp:align>left</wp:align>
                </wp:positionH>
                <wp:positionV relativeFrom="paragraph">
                  <wp:posOffset>10219</wp:posOffset>
                </wp:positionV>
                <wp:extent cx="382270"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noFill/>
                        <a:ln w="9525">
                          <a:noFill/>
                          <a:miter lim="800000"/>
                          <a:headEnd/>
                          <a:tailEnd/>
                        </a:ln>
                      </wps:spPr>
                      <wps:txbx>
                        <w:txbxContent>
                          <w:p w14:paraId="051F277B" w14:textId="54B83927" w:rsidR="00850D69" w:rsidRPr="00850D69" w:rsidRDefault="00850D69">
                            <w:pPr>
                              <w:rPr>
                                <w:b/>
                                <w:bCs/>
                              </w:rPr>
                            </w:pPr>
                            <w:r w:rsidRPr="00850D69">
                              <w:rPr>
                                <w:b/>
                                <w:bC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98C09F" id="_x0000_t202" coordsize="21600,21600" o:spt="202" path="m,l,21600r21600,l21600,xe">
                <v:stroke joinstyle="miter"/>
                <v:path gradientshapeok="t" o:connecttype="rect"/>
              </v:shapetype>
              <v:shape id="Text Box 2" o:spid="_x0000_s1026" type="#_x0000_t202" style="position:absolute;left:0;text-align:left;margin-left:0;margin-top:.8pt;width:30.1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6Rz+QEAAM0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" filled="f" stroked="f">
                <v:textbox style="mso-fit-shape-to-text:t">
                  <w:txbxContent>
                    <w:p w14:paraId="051F277B" w14:textId="54B83927" w:rsidR="00850D69" w:rsidRPr="00850D69" w:rsidRDefault="00850D69">
                      <w:pPr>
                        <w:rPr>
                          <w:b/>
                          <w:bCs/>
                        </w:rPr>
                      </w:pPr>
                      <w:r w:rsidRPr="00850D69">
                        <w:rPr>
                          <w:b/>
                          <w:bCs/>
                        </w:rPr>
                        <w:t>a</w:t>
                      </w:r>
                    </w:p>
                  </w:txbxContent>
                </v:textbox>
                <w10:wrap anchorx="margin"/>
              </v:shape>
            </w:pict>
          </mc:Fallback>
        </mc:AlternateContent>
      </w:r>
      <w:r w:rsidRPr="00850D69">
        <w:rPr>
          <w:b/>
          <w:i/>
          <w:noProof/>
          <w:sz w:val="18"/>
          <w:szCs w:val="18"/>
        </w:rPr>
        <w:drawing>
          <wp:inline distT="0" distB="0" distL="0" distR="0" wp14:anchorId="0A8E5968" wp14:editId="3FC389B7">
            <wp:extent cx="5692676" cy="358267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5"/>
                    <a:srcRect l="665" b="831"/>
                    <a:stretch/>
                  </pic:blipFill>
                  <pic:spPr bwMode="auto">
                    <a:xfrm>
                      <a:off x="0" y="0"/>
                      <a:ext cx="5694446" cy="3583784"/>
                    </a:xfrm>
                    <a:prstGeom prst="rect">
                      <a:avLst/>
                    </a:prstGeom>
                    <a:ln>
                      <a:noFill/>
                    </a:ln>
                    <a:extLst>
                      <a:ext uri="{53640926-AAD7-44D8-BBD7-CCE9431645EC}">
                        <a14:shadowObscured xmlns:a14="http://schemas.microsoft.com/office/drawing/2010/main"/>
                      </a:ext>
                    </a:extLst>
                  </pic:spPr>
                </pic:pic>
              </a:graphicData>
            </a:graphic>
          </wp:inline>
        </w:drawing>
      </w:r>
    </w:p>
    <w:p w14:paraId="67077CCF" w14:textId="04B4C44B" w:rsidR="00850D69" w:rsidRDefault="0004651E" w:rsidP="00B427A3">
      <w:pPr>
        <w:spacing w:before="240" w:after="240"/>
        <w:jc w:val="center"/>
        <w:rPr>
          <w:b/>
        </w:rPr>
      </w:pPr>
      <w:r w:rsidRPr="00850D69">
        <w:rPr>
          <w:b/>
          <w:noProof/>
        </w:rPr>
        <mc:AlternateContent>
          <mc:Choice Requires="wps">
            <w:drawing>
              <wp:anchor distT="45720" distB="45720" distL="114300" distR="114300" simplePos="0" relativeHeight="251666432" behindDoc="0" locked="0" layoutInCell="1" allowOverlap="1" wp14:anchorId="551D17E6" wp14:editId="25DB3210">
                <wp:simplePos x="0" y="0"/>
                <wp:positionH relativeFrom="margin">
                  <wp:align>left</wp:align>
                </wp:positionH>
                <wp:positionV relativeFrom="paragraph">
                  <wp:posOffset>21590</wp:posOffset>
                </wp:positionV>
                <wp:extent cx="382270" cy="1404620"/>
                <wp:effectExtent l="0" t="0" r="0" b="63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404620"/>
                        </a:xfrm>
                        <a:prstGeom prst="rect">
                          <a:avLst/>
                        </a:prstGeom>
                        <a:noFill/>
                        <a:ln w="9525">
                          <a:noFill/>
                          <a:miter lim="800000"/>
                          <a:headEnd/>
                          <a:tailEnd/>
                        </a:ln>
                      </wps:spPr>
                      <wps:txbx>
                        <w:txbxContent>
                          <w:p w14:paraId="1F7E0A75" w14:textId="5001E3A6" w:rsidR="00850D69" w:rsidRPr="00850D69" w:rsidRDefault="00850D69" w:rsidP="00850D69">
                            <w:pPr>
                              <w:rPr>
                                <w:b/>
                                <w:bCs/>
                                <w:lang w:val="en-US"/>
                              </w:rPr>
                            </w:pPr>
                            <w:r>
                              <w:rPr>
                                <w:b/>
                                <w:bCs/>
                                <w:lang w:val="en-US"/>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D17E6" id="_x0000_s1027" type="#_x0000_t202" style="position:absolute;left:0;text-align:left;margin-left:0;margin-top:1.7pt;width:30.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" filled="f" stroked="f">
                <v:textbox style="mso-fit-shape-to-text:t">
                  <w:txbxContent>
                    <w:p w14:paraId="1F7E0A75" w14:textId="5001E3A6" w:rsidR="00850D69" w:rsidRPr="00850D69" w:rsidRDefault="00850D69" w:rsidP="00850D69">
                      <w:pPr>
                        <w:rPr>
                          <w:b/>
                          <w:bCs/>
                          <w:lang w:val="en-US"/>
                        </w:rPr>
                      </w:pPr>
                      <w:r>
                        <w:rPr>
                          <w:b/>
                          <w:bCs/>
                          <w:lang w:val="en-US"/>
                        </w:rPr>
                        <w:t>b</w:t>
                      </w:r>
                    </w:p>
                  </w:txbxContent>
                </v:textbox>
                <w10:wrap anchorx="margin"/>
              </v:shape>
            </w:pict>
          </mc:Fallback>
        </mc:AlternateContent>
      </w:r>
      <w:r w:rsidR="00850D69" w:rsidRPr="00850D69">
        <w:rPr>
          <w:b/>
          <w:noProof/>
        </w:rPr>
        <w:drawing>
          <wp:inline distT="0" distB="0" distL="0" distR="0" wp14:anchorId="24684F02" wp14:editId="310CB316">
            <wp:extent cx="5680710" cy="3571875"/>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16"/>
                    <a:srcRect l="666" b="1530"/>
                    <a:stretch/>
                  </pic:blipFill>
                  <pic:spPr bwMode="auto">
                    <a:xfrm>
                      <a:off x="0" y="0"/>
                      <a:ext cx="5683171" cy="3573422"/>
                    </a:xfrm>
                    <a:prstGeom prst="rect">
                      <a:avLst/>
                    </a:prstGeom>
                    <a:ln>
                      <a:noFill/>
                    </a:ln>
                    <a:extLst>
                      <a:ext uri="{53640926-AAD7-44D8-BBD7-CCE9431645EC}">
                        <a14:shadowObscured xmlns:a14="http://schemas.microsoft.com/office/drawing/2010/main"/>
                      </a:ext>
                    </a:extLst>
                  </pic:spPr>
                </pic:pic>
              </a:graphicData>
            </a:graphic>
          </wp:inline>
        </w:drawing>
      </w:r>
    </w:p>
    <w:p w14:paraId="2523E7D3" w14:textId="77777777" w:rsidR="00850D69" w:rsidRDefault="00850D69" w:rsidP="00397F96">
      <w:pPr>
        <w:spacing w:before="240" w:after="240"/>
        <w:rPr>
          <w:b/>
          <w:i/>
          <w:sz w:val="18"/>
          <w:szCs w:val="18"/>
        </w:rPr>
      </w:pPr>
    </w:p>
    <w:p w14:paraId="19E685B4" w14:textId="5D6354FC" w:rsidR="00E853FC" w:rsidRPr="0004651E" w:rsidRDefault="00397F96" w:rsidP="0046623F">
      <w:pPr>
        <w:spacing w:before="240" w:after="240"/>
        <w:jc w:val="both"/>
        <w:rPr>
          <w:b/>
          <w:i/>
          <w:sz w:val="18"/>
          <w:szCs w:val="18"/>
        </w:rPr>
      </w:pPr>
      <w:r w:rsidRPr="000222ED">
        <w:rPr>
          <w:b/>
          <w:i/>
          <w:sz w:val="18"/>
          <w:szCs w:val="18"/>
        </w:rPr>
        <w:t xml:space="preserve">Supplementary Figure </w:t>
      </w:r>
      <w:r>
        <w:rPr>
          <w:b/>
          <w:i/>
          <w:sz w:val="18"/>
          <w:szCs w:val="18"/>
        </w:rPr>
        <w:t>6</w:t>
      </w:r>
      <w:r w:rsidRPr="000222ED">
        <w:rPr>
          <w:b/>
          <w:i/>
          <w:sz w:val="18"/>
          <w:szCs w:val="18"/>
        </w:rPr>
        <w:t xml:space="preserve">: Exploring </w:t>
      </w:r>
      <w:r>
        <w:rPr>
          <w:b/>
          <w:i/>
          <w:sz w:val="18"/>
          <w:szCs w:val="18"/>
        </w:rPr>
        <w:t xml:space="preserve">an age-stratified </w:t>
      </w:r>
      <w:r w:rsidRPr="000222ED">
        <w:rPr>
          <w:b/>
          <w:i/>
          <w:sz w:val="18"/>
          <w:szCs w:val="18"/>
        </w:rPr>
        <w:t xml:space="preserve">parameter for reduction in daily social contacts over the pandemic timeframe. </w:t>
      </w:r>
      <w:r>
        <w:rPr>
          <w:b/>
          <w:i/>
          <w:sz w:val="18"/>
          <w:szCs w:val="18"/>
        </w:rPr>
        <w:t>We assume</w:t>
      </w:r>
      <w:r w:rsidR="00B92C45">
        <w:rPr>
          <w:b/>
          <w:i/>
          <w:sz w:val="18"/>
          <w:szCs w:val="18"/>
        </w:rPr>
        <w:t>d</w:t>
      </w:r>
      <w:r>
        <w:rPr>
          <w:b/>
          <w:i/>
          <w:sz w:val="18"/>
          <w:szCs w:val="18"/>
        </w:rPr>
        <w:t xml:space="preserve"> 54%, 74%, 77%,</w:t>
      </w:r>
      <w:r w:rsidR="00E4321C">
        <w:rPr>
          <w:b/>
          <w:i/>
          <w:sz w:val="18"/>
          <w:szCs w:val="18"/>
        </w:rPr>
        <w:t xml:space="preserve"> and</w:t>
      </w:r>
      <w:r>
        <w:rPr>
          <w:b/>
          <w:i/>
          <w:sz w:val="18"/>
          <w:szCs w:val="18"/>
        </w:rPr>
        <w:t xml:space="preserve"> </w:t>
      </w:r>
      <w:r w:rsidR="00E4321C">
        <w:rPr>
          <w:b/>
          <w:i/>
          <w:sz w:val="18"/>
          <w:szCs w:val="18"/>
        </w:rPr>
        <w:t>78%</w:t>
      </w:r>
      <w:r w:rsidRPr="000222ED">
        <w:rPr>
          <w:b/>
          <w:i/>
          <w:sz w:val="18"/>
          <w:szCs w:val="18"/>
        </w:rPr>
        <w:t xml:space="preserve"> reduction for periods of school openings and </w:t>
      </w:r>
      <w:r w:rsidR="00E4321C">
        <w:rPr>
          <w:b/>
          <w:i/>
          <w:sz w:val="18"/>
          <w:szCs w:val="18"/>
        </w:rPr>
        <w:t xml:space="preserve">38%, 48%, 68%, and 70% reduction for periods of school </w:t>
      </w:r>
      <w:r w:rsidRPr="000222ED">
        <w:rPr>
          <w:b/>
          <w:i/>
          <w:sz w:val="18"/>
          <w:szCs w:val="18"/>
        </w:rPr>
        <w:t>closures</w:t>
      </w:r>
      <w:r w:rsidR="00E4321C">
        <w:rPr>
          <w:b/>
          <w:i/>
          <w:sz w:val="18"/>
          <w:szCs w:val="18"/>
        </w:rPr>
        <w:t>,</w:t>
      </w:r>
      <w:r w:rsidRPr="000222ED">
        <w:rPr>
          <w:b/>
          <w:i/>
          <w:sz w:val="18"/>
          <w:szCs w:val="18"/>
        </w:rPr>
        <w:t xml:space="preserve"> in </w:t>
      </w:r>
      <w:r>
        <w:rPr>
          <w:b/>
          <w:i/>
          <w:sz w:val="18"/>
          <w:szCs w:val="18"/>
        </w:rPr>
        <w:t xml:space="preserve">age groups 0-4y, 5-17y, 18-59y, and 60y+ respectively </w:t>
      </w:r>
      <w:r w:rsidRPr="000222ED">
        <w:rPr>
          <w:b/>
          <w:i/>
          <w:sz w:val="18"/>
          <w:szCs w:val="18"/>
        </w:rPr>
        <w:t>(</w:t>
      </w:r>
      <w:r>
        <w:rPr>
          <w:b/>
          <w:i/>
          <w:sz w:val="18"/>
          <w:szCs w:val="18"/>
        </w:rPr>
        <w:t>brown</w:t>
      </w:r>
      <w:r w:rsidRPr="000222ED">
        <w:rPr>
          <w:b/>
          <w:i/>
          <w:sz w:val="18"/>
          <w:szCs w:val="18"/>
        </w:rPr>
        <w:t>)</w:t>
      </w:r>
      <w:r>
        <w:rPr>
          <w:b/>
          <w:i/>
          <w:sz w:val="18"/>
          <w:szCs w:val="18"/>
        </w:rPr>
        <w:t xml:space="preserve">. This </w:t>
      </w:r>
      <w:r w:rsidR="00B92C45">
        <w:rPr>
          <w:b/>
          <w:i/>
          <w:sz w:val="18"/>
          <w:szCs w:val="18"/>
        </w:rPr>
        <w:t>wa</w:t>
      </w:r>
      <w:r>
        <w:rPr>
          <w:b/>
          <w:i/>
          <w:sz w:val="18"/>
          <w:szCs w:val="18"/>
        </w:rPr>
        <w:t xml:space="preserve">s </w:t>
      </w:r>
      <w:r w:rsidRPr="000222ED">
        <w:rPr>
          <w:b/>
          <w:i/>
          <w:sz w:val="18"/>
          <w:szCs w:val="18"/>
        </w:rPr>
        <w:t xml:space="preserve">compared to the </w:t>
      </w:r>
      <w:r>
        <w:rPr>
          <w:b/>
          <w:i/>
          <w:sz w:val="18"/>
          <w:szCs w:val="18"/>
        </w:rPr>
        <w:t xml:space="preserve">age-independent </w:t>
      </w:r>
      <w:r w:rsidRPr="000222ED">
        <w:rPr>
          <w:b/>
          <w:i/>
          <w:sz w:val="18"/>
          <w:szCs w:val="18"/>
        </w:rPr>
        <w:t xml:space="preserve">baseline assumption of 60% and 75% (red). The standard “no pandemic” scenario is also plotted for comparison </w:t>
      </w:r>
      <w:r>
        <w:rPr>
          <w:b/>
          <w:i/>
          <w:sz w:val="18"/>
          <w:szCs w:val="18"/>
        </w:rPr>
        <w:t xml:space="preserve">in </w:t>
      </w:r>
      <w:r w:rsidR="00850D69">
        <w:rPr>
          <w:b/>
          <w:i/>
          <w:sz w:val="18"/>
          <w:szCs w:val="18"/>
        </w:rPr>
        <w:t>b</w:t>
      </w:r>
      <w:r>
        <w:rPr>
          <w:b/>
          <w:i/>
          <w:sz w:val="18"/>
          <w:szCs w:val="18"/>
        </w:rPr>
        <w:t xml:space="preserve"> </w:t>
      </w:r>
      <w:r w:rsidRPr="000222ED">
        <w:rPr>
          <w:b/>
          <w:i/>
          <w:sz w:val="18"/>
          <w:szCs w:val="18"/>
        </w:rPr>
        <w:t xml:space="preserve">(grey). </w:t>
      </w:r>
    </w:p>
    <w:p w14:paraId="4A8833FB" w14:textId="2E435052" w:rsidR="00CB3EB2" w:rsidRDefault="001739C2" w:rsidP="00842A00">
      <w:pPr>
        <w:spacing w:before="240" w:after="240"/>
        <w:jc w:val="both"/>
      </w:pPr>
      <w:r w:rsidRPr="00C051EC">
        <w:lastRenderedPageBreak/>
        <w:t xml:space="preserve">Results for non-vaccine-preventable strains </w:t>
      </w:r>
      <w:r w:rsidR="0043166D">
        <w:t>we</w:t>
      </w:r>
      <w:r w:rsidRPr="00C051EC">
        <w:t xml:space="preserve">re not presented in the main text as this study </w:t>
      </w:r>
      <w:r w:rsidR="0043166D">
        <w:t>wa</w:t>
      </w:r>
      <w:r w:rsidRPr="00C051EC">
        <w:t>s primarily focused on the changing prevalence of vaccine-preventable strains. However, individuals who contract</w:t>
      </w:r>
      <w:r w:rsidR="0043166D">
        <w:t>ed</w:t>
      </w:r>
      <w:r w:rsidRPr="00C051EC">
        <w:t xml:space="preserve"> non-vaccine-preventable strains </w:t>
      </w:r>
      <w:r w:rsidR="0043166D">
        <w:t>we</w:t>
      </w:r>
      <w:r w:rsidRPr="00C051EC">
        <w:t>re still included in the model, and experience</w:t>
      </w:r>
      <w:r w:rsidR="0043166D">
        <w:t>d</w:t>
      </w:r>
      <w:r w:rsidRPr="00C051EC">
        <w:t xml:space="preserve"> reductions in pandemic social mixing in the same way as susceptible and ACWY-infected individuals. This is shown in Supplementary Figure 7. Note that a constant force of infection </w:t>
      </w:r>
      <w:r w:rsidR="0043166D">
        <w:t>wa</w:t>
      </w:r>
      <w:r w:rsidRPr="00C051EC">
        <w:t>s used for non-vaccine-preventable strains.</w:t>
      </w:r>
    </w:p>
    <w:p w14:paraId="39E74931" w14:textId="77777777" w:rsidR="00143FB3" w:rsidRDefault="00143FB3" w:rsidP="001739C2">
      <w:pPr>
        <w:spacing w:before="240" w:after="240"/>
        <w:jc w:val="both"/>
      </w:pPr>
    </w:p>
    <w:p w14:paraId="54F3FEA2" w14:textId="0331A40A" w:rsidR="00FE25E6" w:rsidRDefault="00143FB3" w:rsidP="001739C2">
      <w:pPr>
        <w:spacing w:before="240" w:after="240"/>
        <w:jc w:val="both"/>
      </w:pPr>
      <w:r w:rsidRPr="00143FB3">
        <w:rPr>
          <w:noProof/>
        </w:rPr>
        <w:drawing>
          <wp:inline distT="0" distB="0" distL="0" distR="0" wp14:anchorId="226ED4E6" wp14:editId="7A96EBC1">
            <wp:extent cx="5858540" cy="4065096"/>
            <wp:effectExtent l="0" t="0" r="889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pic:nvPicPr>
                  <pic:blipFill>
                    <a:blip r:embed="rId17"/>
                    <a:stretch>
                      <a:fillRect/>
                    </a:stretch>
                  </pic:blipFill>
                  <pic:spPr>
                    <a:xfrm>
                      <a:off x="0" y="0"/>
                      <a:ext cx="5860970" cy="4066782"/>
                    </a:xfrm>
                    <a:prstGeom prst="rect">
                      <a:avLst/>
                    </a:prstGeom>
                  </pic:spPr>
                </pic:pic>
              </a:graphicData>
            </a:graphic>
          </wp:inline>
        </w:drawing>
      </w:r>
    </w:p>
    <w:p w14:paraId="48431066" w14:textId="250CBFDE" w:rsidR="00C051EC" w:rsidRPr="000222ED" w:rsidRDefault="00C051EC" w:rsidP="0046623F">
      <w:pPr>
        <w:spacing w:before="240" w:after="240"/>
        <w:jc w:val="both"/>
        <w:rPr>
          <w:b/>
          <w:i/>
          <w:sz w:val="18"/>
          <w:szCs w:val="18"/>
        </w:rPr>
      </w:pPr>
      <w:r w:rsidRPr="000222ED">
        <w:rPr>
          <w:b/>
          <w:i/>
          <w:sz w:val="18"/>
          <w:szCs w:val="18"/>
        </w:rPr>
        <w:t xml:space="preserve">Supplementary Figure </w:t>
      </w:r>
      <w:r>
        <w:rPr>
          <w:b/>
          <w:i/>
          <w:sz w:val="18"/>
          <w:szCs w:val="18"/>
        </w:rPr>
        <w:t>7</w:t>
      </w:r>
      <w:r w:rsidRPr="000222ED">
        <w:rPr>
          <w:b/>
          <w:i/>
          <w:sz w:val="18"/>
          <w:szCs w:val="18"/>
        </w:rPr>
        <w:t xml:space="preserve">: </w:t>
      </w:r>
      <w:r>
        <w:rPr>
          <w:b/>
          <w:i/>
          <w:sz w:val="18"/>
          <w:szCs w:val="18"/>
        </w:rPr>
        <w:t xml:space="preserve">Behaviour of non-ACWY strains in the model. </w:t>
      </w:r>
    </w:p>
    <w:p w14:paraId="36528F43" w14:textId="77777777" w:rsidR="00FE25E6" w:rsidRDefault="00FE25E6" w:rsidP="001739C2">
      <w:pPr>
        <w:spacing w:before="240" w:after="240"/>
        <w:jc w:val="both"/>
      </w:pPr>
    </w:p>
    <w:p w14:paraId="0F1AFC37" w14:textId="5B7AA49A" w:rsidR="00E853FC" w:rsidRDefault="00E853FC">
      <w:pPr>
        <w:spacing w:before="240" w:after="240"/>
        <w:rPr>
          <w:b/>
        </w:rPr>
      </w:pPr>
    </w:p>
    <w:p w14:paraId="0B0997E4" w14:textId="2EB4A191" w:rsidR="00435DAF" w:rsidRDefault="00435DAF">
      <w:pPr>
        <w:spacing w:before="240" w:after="240"/>
        <w:rPr>
          <w:b/>
        </w:rPr>
      </w:pPr>
    </w:p>
    <w:p w14:paraId="62A6FBEF" w14:textId="0F7A57D6" w:rsidR="00435DAF" w:rsidRDefault="00435DAF">
      <w:pPr>
        <w:spacing w:before="240" w:after="240"/>
        <w:rPr>
          <w:b/>
        </w:rPr>
      </w:pPr>
    </w:p>
    <w:p w14:paraId="6388739F" w14:textId="23F52343" w:rsidR="00435DAF" w:rsidRDefault="00435DAF">
      <w:pPr>
        <w:spacing w:before="240" w:after="240"/>
        <w:rPr>
          <w:b/>
        </w:rPr>
      </w:pPr>
    </w:p>
    <w:p w14:paraId="0E5686CD" w14:textId="6F3CFDF1" w:rsidR="00435DAF" w:rsidRDefault="00435DAF">
      <w:pPr>
        <w:spacing w:before="240" w:after="240"/>
        <w:rPr>
          <w:b/>
        </w:rPr>
      </w:pPr>
    </w:p>
    <w:p w14:paraId="11E704A9" w14:textId="77777777" w:rsidR="00143FB3" w:rsidRDefault="00143FB3">
      <w:pPr>
        <w:spacing w:before="240" w:after="240"/>
        <w:rPr>
          <w:b/>
        </w:rPr>
      </w:pPr>
    </w:p>
    <w:p w14:paraId="10A172A0" w14:textId="77777777" w:rsidR="00435DAF" w:rsidRPr="000222ED" w:rsidRDefault="00435DAF">
      <w:pPr>
        <w:spacing w:before="240" w:after="240"/>
        <w:rPr>
          <w:b/>
        </w:rPr>
      </w:pPr>
    </w:p>
    <w:p w14:paraId="3441AEA6" w14:textId="2A9C4A9D" w:rsidR="00781CA2" w:rsidRDefault="00560AE5">
      <w:pPr>
        <w:spacing w:before="240" w:after="240"/>
        <w:rPr>
          <w:b/>
        </w:rPr>
      </w:pPr>
      <w:r w:rsidRPr="000222ED">
        <w:rPr>
          <w:b/>
        </w:rPr>
        <w:lastRenderedPageBreak/>
        <w:t>References:</w:t>
      </w:r>
    </w:p>
    <w:p w14:paraId="7A88EA10" w14:textId="77777777" w:rsidR="00727446" w:rsidRPr="00D97567" w:rsidRDefault="00727446" w:rsidP="00727446">
      <w:pPr>
        <w:pStyle w:val="ListParagraph"/>
        <w:numPr>
          <w:ilvl w:val="0"/>
          <w:numId w:val="3"/>
        </w:numPr>
        <w:spacing w:before="240" w:after="240"/>
        <w:rPr>
          <w:color w:val="222222"/>
        </w:rPr>
      </w:pPr>
      <w:r w:rsidRPr="00CC5F08">
        <w:rPr>
          <w:b/>
          <w:bCs/>
          <w:color w:val="222222"/>
        </w:rPr>
        <w:t xml:space="preserve">Christensen H, </w:t>
      </w:r>
      <w:r w:rsidRPr="00CC5F08">
        <w:rPr>
          <w:b/>
          <w:bCs/>
          <w:i/>
          <w:iCs/>
          <w:color w:val="222222"/>
        </w:rPr>
        <w:t>et al.</w:t>
      </w:r>
      <w:r>
        <w:rPr>
          <w:i/>
          <w:iCs/>
          <w:color w:val="222222"/>
        </w:rPr>
        <w:t xml:space="preserve"> </w:t>
      </w:r>
      <w:r w:rsidRPr="00D97567">
        <w:rPr>
          <w:color w:val="222222"/>
        </w:rPr>
        <w:t xml:space="preserve">(2014) Re-evaluating cost effectiveness of universal meningitis vaccination (Bexsero) in England: modelling study. </w:t>
      </w:r>
      <w:r w:rsidRPr="00D97567">
        <w:rPr>
          <w:i/>
          <w:color w:val="222222"/>
        </w:rPr>
        <w:t>BMJ</w:t>
      </w:r>
      <w:r w:rsidRPr="00D97567">
        <w:rPr>
          <w:color w:val="222222"/>
        </w:rPr>
        <w:t xml:space="preserve">, </w:t>
      </w:r>
      <w:r w:rsidRPr="00CC5F08">
        <w:rPr>
          <w:b/>
          <w:bCs/>
          <w:iCs/>
          <w:color w:val="222222"/>
        </w:rPr>
        <w:t>349</w:t>
      </w:r>
      <w:r w:rsidRPr="00D97567">
        <w:rPr>
          <w:color w:val="222222"/>
        </w:rPr>
        <w:t xml:space="preserve">. </w:t>
      </w:r>
      <w:hyperlink r:id="rId18">
        <w:r w:rsidRPr="00D97567">
          <w:rPr>
            <w:color w:val="1155CC"/>
            <w:u w:val="single"/>
          </w:rPr>
          <w:t>https://doi.org/10.1136/bmj.g5725</w:t>
        </w:r>
      </w:hyperlink>
    </w:p>
    <w:p w14:paraId="7188743A" w14:textId="77777777" w:rsidR="00727446" w:rsidRPr="00E669BF" w:rsidRDefault="00727446" w:rsidP="00727446">
      <w:pPr>
        <w:pStyle w:val="ListParagraph"/>
        <w:numPr>
          <w:ilvl w:val="0"/>
          <w:numId w:val="3"/>
        </w:numPr>
        <w:spacing w:before="240"/>
        <w:rPr>
          <w:rStyle w:val="Hyperlink"/>
          <w:color w:val="auto"/>
          <w:u w:val="none"/>
        </w:rPr>
      </w:pPr>
      <w:r w:rsidRPr="00CC5F08">
        <w:rPr>
          <w:b/>
          <w:bCs/>
        </w:rPr>
        <w:t xml:space="preserve">Christensen H, </w:t>
      </w:r>
      <w:r w:rsidRPr="00CC5F08">
        <w:rPr>
          <w:b/>
          <w:bCs/>
          <w:i/>
          <w:iCs/>
        </w:rPr>
        <w:t xml:space="preserve">et al. </w:t>
      </w:r>
      <w:r>
        <w:t xml:space="preserve">(2013) Introducing vaccination against serogroup B meningococcal disease: An economic and mathematical modelling study of potential impact. </w:t>
      </w:r>
      <w:r w:rsidRPr="00E669BF">
        <w:rPr>
          <w:i/>
          <w:iCs/>
        </w:rPr>
        <w:t xml:space="preserve">Vaccine, </w:t>
      </w:r>
      <w:r w:rsidRPr="00CC5F08">
        <w:rPr>
          <w:b/>
          <w:bCs/>
        </w:rPr>
        <w:t>31</w:t>
      </w:r>
      <w:r>
        <w:t xml:space="preserve">. </w:t>
      </w:r>
      <w:hyperlink r:id="rId19" w:history="1">
        <w:r w:rsidRPr="00035C00">
          <w:rPr>
            <w:rStyle w:val="Hyperlink"/>
          </w:rPr>
          <w:t>https://doi.org/10.1016/j.vaccine.2013.03.034</w:t>
        </w:r>
      </w:hyperlink>
    </w:p>
    <w:p w14:paraId="1ADFBE33" w14:textId="77777777" w:rsidR="00727446" w:rsidRPr="0088132E" w:rsidRDefault="00727446" w:rsidP="00727446">
      <w:pPr>
        <w:pStyle w:val="ListParagraph"/>
        <w:numPr>
          <w:ilvl w:val="0"/>
          <w:numId w:val="3"/>
        </w:numPr>
        <w:spacing w:before="240"/>
      </w:pPr>
      <w:r w:rsidRPr="00CC5F08">
        <w:rPr>
          <w:b/>
          <w:bCs/>
          <w:color w:val="222222"/>
        </w:rPr>
        <w:t xml:space="preserve">Christensen H, </w:t>
      </w:r>
      <w:r w:rsidRPr="00CC5F08">
        <w:rPr>
          <w:b/>
          <w:bCs/>
          <w:i/>
          <w:iCs/>
          <w:color w:val="222222"/>
        </w:rPr>
        <w:t>et al.</w:t>
      </w:r>
      <w:r w:rsidRPr="00E669BF">
        <w:rPr>
          <w:color w:val="222222"/>
        </w:rPr>
        <w:t xml:space="preserve"> (2010)</w:t>
      </w:r>
      <w:r>
        <w:rPr>
          <w:color w:val="222222"/>
        </w:rPr>
        <w:t xml:space="preserve"> </w:t>
      </w:r>
      <w:r w:rsidRPr="00E669BF">
        <w:rPr>
          <w:color w:val="222222"/>
        </w:rPr>
        <w:t xml:space="preserve">Meningococcal carriage by age: a systematic review and meta-analysis. </w:t>
      </w:r>
      <w:r w:rsidRPr="00E669BF">
        <w:rPr>
          <w:i/>
          <w:color w:val="222222"/>
        </w:rPr>
        <w:t>The Lancet Infectious Diseases</w:t>
      </w:r>
      <w:r w:rsidRPr="00E669BF">
        <w:rPr>
          <w:color w:val="222222"/>
        </w:rPr>
        <w:t xml:space="preserve">, </w:t>
      </w:r>
      <w:r w:rsidRPr="00CC5F08">
        <w:rPr>
          <w:b/>
          <w:bCs/>
          <w:iCs/>
          <w:color w:val="222222"/>
        </w:rPr>
        <w:t>10</w:t>
      </w:r>
      <w:r w:rsidRPr="00E669BF">
        <w:rPr>
          <w:color w:val="222222"/>
        </w:rPr>
        <w:t xml:space="preserve">. </w:t>
      </w:r>
      <w:hyperlink r:id="rId20">
        <w:r w:rsidRPr="00E669BF">
          <w:rPr>
            <w:color w:val="1155CC"/>
            <w:u w:val="single"/>
          </w:rPr>
          <w:t>https://doi.org/10.1016/S1473-3099(10)70251-6</w:t>
        </w:r>
      </w:hyperlink>
    </w:p>
    <w:p w14:paraId="34EC1F27" w14:textId="77777777" w:rsidR="00A04373" w:rsidRPr="00A04373" w:rsidRDefault="00727446" w:rsidP="002D56CA">
      <w:pPr>
        <w:pStyle w:val="ListParagraph"/>
        <w:numPr>
          <w:ilvl w:val="0"/>
          <w:numId w:val="3"/>
        </w:numPr>
        <w:spacing w:before="240" w:after="240" w:line="259" w:lineRule="auto"/>
        <w:ind w:left="714" w:hanging="357"/>
        <w:jc w:val="both"/>
      </w:pPr>
      <w:r w:rsidRPr="00A04373">
        <w:rPr>
          <w:b/>
          <w:bCs/>
          <w:color w:val="222222"/>
        </w:rPr>
        <w:t xml:space="preserve">MacLennan JM, </w:t>
      </w:r>
      <w:r w:rsidRPr="00A04373">
        <w:rPr>
          <w:b/>
          <w:bCs/>
          <w:i/>
          <w:iCs/>
          <w:color w:val="222222"/>
        </w:rPr>
        <w:t>et al.</w:t>
      </w:r>
      <w:r w:rsidRPr="00A04373">
        <w:rPr>
          <w:color w:val="222222"/>
        </w:rPr>
        <w:t xml:space="preserve"> (2021) Meningococcal carriage in periods of high and low invasive meningococcal disease incidence in the UK: comparison of UKMenCar1–4 cross-sectional survey results. </w:t>
      </w:r>
      <w:r w:rsidRPr="00A04373">
        <w:rPr>
          <w:i/>
          <w:color w:val="222222"/>
        </w:rPr>
        <w:t>The Lancet Infectious Diseases</w:t>
      </w:r>
      <w:r w:rsidRPr="00A04373">
        <w:rPr>
          <w:color w:val="222222"/>
        </w:rPr>
        <w:t xml:space="preserve">, </w:t>
      </w:r>
      <w:r w:rsidRPr="00A04373">
        <w:rPr>
          <w:b/>
          <w:bCs/>
          <w:iCs/>
          <w:color w:val="222222"/>
        </w:rPr>
        <w:t>21</w:t>
      </w:r>
      <w:r w:rsidRPr="00A04373">
        <w:rPr>
          <w:color w:val="222222"/>
        </w:rPr>
        <w:t xml:space="preserve">. </w:t>
      </w:r>
      <w:hyperlink r:id="rId21">
        <w:r w:rsidRPr="00A04373">
          <w:rPr>
            <w:color w:val="1155CC"/>
            <w:u w:val="single"/>
          </w:rPr>
          <w:t>https://doi.org/10.1016/S1473-3099(20)30842-2</w:t>
        </w:r>
      </w:hyperlink>
      <w:r w:rsidRPr="00A04373">
        <w:rPr>
          <w:color w:val="222222"/>
        </w:rPr>
        <w:t xml:space="preserve"> </w:t>
      </w:r>
    </w:p>
    <w:p w14:paraId="068B2B72" w14:textId="77777777" w:rsidR="00A04373" w:rsidRDefault="00727446" w:rsidP="00F436E3">
      <w:pPr>
        <w:pStyle w:val="ListParagraph"/>
        <w:numPr>
          <w:ilvl w:val="0"/>
          <w:numId w:val="3"/>
        </w:numPr>
        <w:spacing w:before="240" w:after="240" w:line="259" w:lineRule="auto"/>
        <w:ind w:left="714" w:hanging="357"/>
        <w:jc w:val="both"/>
      </w:pPr>
      <w:r w:rsidRPr="00A04373">
        <w:rPr>
          <w:b/>
          <w:bCs/>
        </w:rPr>
        <w:t>Public Health England</w:t>
      </w:r>
      <w:r>
        <w:t>.</w:t>
      </w:r>
      <w:r w:rsidRPr="00CC5F08">
        <w:t xml:space="preserve"> </w:t>
      </w:r>
      <w:r w:rsidRPr="000222ED">
        <w:t>(20</w:t>
      </w:r>
      <w:r>
        <w:t>15</w:t>
      </w:r>
      <w:r w:rsidRPr="000222ED">
        <w:t xml:space="preserve">) </w:t>
      </w:r>
      <w:r w:rsidRPr="00A04373">
        <w:rPr>
          <w:i/>
        </w:rPr>
        <w:t>Invasive meningococcal disease (laboratory reports in England): 2014/2015 annual data by epidemiological year</w:t>
      </w:r>
      <w:r w:rsidRPr="000222ED">
        <w:t xml:space="preserve">. </w:t>
      </w:r>
      <w:r>
        <w:t xml:space="preserve">Retrieved from </w:t>
      </w:r>
      <w:hyperlink r:id="rId22" w:history="1">
        <w:r w:rsidRPr="00C6183E">
          <w:rPr>
            <w:rStyle w:val="Hyperlink"/>
          </w:rPr>
          <w:t>https://www.gov.uk/government/publications/meningococcal-disease-laboratory-confirmed-cases-in-england-and-wales</w:t>
        </w:r>
      </w:hyperlink>
      <w:r>
        <w:t xml:space="preserve"> </w:t>
      </w:r>
    </w:p>
    <w:p w14:paraId="354B14A3" w14:textId="46D8CF07" w:rsidR="00727446" w:rsidRPr="00727446" w:rsidRDefault="00727446" w:rsidP="00F436E3">
      <w:pPr>
        <w:pStyle w:val="ListParagraph"/>
        <w:numPr>
          <w:ilvl w:val="0"/>
          <w:numId w:val="3"/>
        </w:numPr>
        <w:spacing w:before="240" w:after="240" w:line="259" w:lineRule="auto"/>
        <w:ind w:left="714" w:hanging="357"/>
        <w:jc w:val="both"/>
      </w:pPr>
      <w:r w:rsidRPr="00A04373">
        <w:rPr>
          <w:b/>
          <w:bCs/>
          <w:color w:val="212121"/>
        </w:rPr>
        <w:t xml:space="preserve">Read RC, </w:t>
      </w:r>
      <w:r w:rsidRPr="00A04373">
        <w:rPr>
          <w:b/>
          <w:bCs/>
          <w:i/>
          <w:iCs/>
          <w:color w:val="212121"/>
        </w:rPr>
        <w:t>et al.</w:t>
      </w:r>
      <w:r w:rsidRPr="00A04373">
        <w:rPr>
          <w:i/>
          <w:iCs/>
          <w:color w:val="212121"/>
        </w:rPr>
        <w:t xml:space="preserve"> </w:t>
      </w:r>
      <w:r w:rsidRPr="00A04373">
        <w:rPr>
          <w:color w:val="212121"/>
        </w:rPr>
        <w:t xml:space="preserve">(2014) Effect of a quadrivalent meningococcal ACWY glycoconjugate or a serogroup B meningococcal vaccine on meningococcal carriage: an observer-blind, phase 3 randomised clinical trial. </w:t>
      </w:r>
      <w:r w:rsidRPr="00A04373">
        <w:rPr>
          <w:i/>
          <w:color w:val="212121"/>
        </w:rPr>
        <w:t>Lancet</w:t>
      </w:r>
      <w:r w:rsidRPr="00A04373">
        <w:rPr>
          <w:color w:val="212121"/>
        </w:rPr>
        <w:t xml:space="preserve">, </w:t>
      </w:r>
      <w:r w:rsidRPr="00A04373">
        <w:rPr>
          <w:b/>
          <w:bCs/>
          <w:iCs/>
          <w:color w:val="212121"/>
        </w:rPr>
        <w:t>384</w:t>
      </w:r>
      <w:r w:rsidRPr="00A04373">
        <w:rPr>
          <w:color w:val="212121"/>
        </w:rPr>
        <w:t xml:space="preserve">. </w:t>
      </w:r>
      <w:hyperlink r:id="rId23">
        <w:r w:rsidRPr="00A04373">
          <w:rPr>
            <w:color w:val="1155CC"/>
            <w:u w:val="single"/>
          </w:rPr>
          <w:t>https://doi.org/10.1016/S0140-6736(14)60842-4</w:t>
        </w:r>
      </w:hyperlink>
      <w:r w:rsidRPr="00A04373">
        <w:rPr>
          <w:color w:val="212121"/>
        </w:rPr>
        <w:t xml:space="preserve"> </w:t>
      </w:r>
    </w:p>
    <w:p w14:paraId="0E5B5A37" w14:textId="39C77E75" w:rsidR="00842A00" w:rsidRPr="00785E10" w:rsidRDefault="00727446" w:rsidP="00727446">
      <w:pPr>
        <w:pStyle w:val="ListParagraph"/>
        <w:numPr>
          <w:ilvl w:val="0"/>
          <w:numId w:val="3"/>
        </w:numPr>
        <w:spacing w:line="259" w:lineRule="auto"/>
        <w:ind w:left="714" w:hanging="357"/>
        <w:jc w:val="both"/>
      </w:pPr>
      <w:proofErr w:type="spellStart"/>
      <w:r w:rsidRPr="00727446">
        <w:rPr>
          <w:b/>
          <w:bCs/>
        </w:rPr>
        <w:t>Gimma</w:t>
      </w:r>
      <w:proofErr w:type="spellEnd"/>
      <w:r w:rsidRPr="00727446">
        <w:rPr>
          <w:b/>
          <w:bCs/>
        </w:rPr>
        <w:t xml:space="preserve"> A, </w:t>
      </w:r>
      <w:r w:rsidRPr="00727446">
        <w:rPr>
          <w:b/>
          <w:bCs/>
          <w:i/>
          <w:iCs/>
        </w:rPr>
        <w:t>et al.</w:t>
      </w:r>
      <w:r w:rsidRPr="00727446">
        <w:rPr>
          <w:i/>
          <w:iCs/>
        </w:rPr>
        <w:t xml:space="preserve"> </w:t>
      </w:r>
      <w:r w:rsidRPr="00785E10">
        <w:t xml:space="preserve">(2022) Changes in social contacts in England during the COVID-19 pandemic between March 2020 and March 2021 as measured by the </w:t>
      </w:r>
      <w:proofErr w:type="spellStart"/>
      <w:r w:rsidRPr="00785E10">
        <w:t>CoMix</w:t>
      </w:r>
      <w:proofErr w:type="spellEnd"/>
      <w:r w:rsidRPr="00785E10">
        <w:t xml:space="preserve"> study: A repeated cross-sectional study. </w:t>
      </w:r>
      <w:proofErr w:type="spellStart"/>
      <w:r w:rsidRPr="00727446">
        <w:rPr>
          <w:i/>
          <w:iCs/>
        </w:rPr>
        <w:t>PLoS</w:t>
      </w:r>
      <w:proofErr w:type="spellEnd"/>
      <w:r w:rsidRPr="00727446">
        <w:rPr>
          <w:i/>
          <w:iCs/>
        </w:rPr>
        <w:t xml:space="preserve"> Medicine, </w:t>
      </w:r>
      <w:r w:rsidRPr="00727446">
        <w:rPr>
          <w:b/>
          <w:bCs/>
        </w:rPr>
        <w:t>19</w:t>
      </w:r>
      <w:r w:rsidRPr="00785E10">
        <w:t>.</w:t>
      </w:r>
    </w:p>
    <w:sectPr w:rsidR="00842A00" w:rsidRPr="00785E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284C"/>
    <w:multiLevelType w:val="multilevel"/>
    <w:tmpl w:val="410E05CA"/>
    <w:lvl w:ilvl="0">
      <w:start w:val="1"/>
      <w:numFmt w:val="decimal"/>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 w15:restartNumberingAfterBreak="0">
    <w:nsid w:val="4ADB7EB9"/>
    <w:multiLevelType w:val="hybridMultilevel"/>
    <w:tmpl w:val="336E8222"/>
    <w:lvl w:ilvl="0" w:tplc="FFFFFFFF">
      <w:start w:val="1"/>
      <w:numFmt w:val="decimal"/>
      <w:lvlText w:val="%1."/>
      <w:lvlJc w:val="left"/>
      <w:pPr>
        <w:ind w:left="720" w:hanging="360"/>
      </w:pPr>
      <w:rPr>
        <w:i w:val="0"/>
        <w:i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8F3FB8"/>
    <w:multiLevelType w:val="hybridMultilevel"/>
    <w:tmpl w:val="336E8222"/>
    <w:lvl w:ilvl="0" w:tplc="FFFFFFFF">
      <w:start w:val="1"/>
      <w:numFmt w:val="decimal"/>
      <w:lvlText w:val="%1."/>
      <w:lvlJc w:val="left"/>
      <w:pPr>
        <w:ind w:left="720" w:hanging="360"/>
      </w:pPr>
      <w:rPr>
        <w:i w:val="0"/>
        <w:i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9484664">
    <w:abstractNumId w:val="0"/>
  </w:num>
  <w:num w:numId="2" w16cid:durableId="973103550">
    <w:abstractNumId w:val="2"/>
  </w:num>
  <w:num w:numId="3" w16cid:durableId="112919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A2"/>
    <w:rsid w:val="000020F4"/>
    <w:rsid w:val="000222ED"/>
    <w:rsid w:val="0004651E"/>
    <w:rsid w:val="00046C3E"/>
    <w:rsid w:val="000479C7"/>
    <w:rsid w:val="00074E76"/>
    <w:rsid w:val="00076DF7"/>
    <w:rsid w:val="00080D52"/>
    <w:rsid w:val="000B3B74"/>
    <w:rsid w:val="000C4082"/>
    <w:rsid w:val="00117885"/>
    <w:rsid w:val="00132683"/>
    <w:rsid w:val="0013297E"/>
    <w:rsid w:val="001334F1"/>
    <w:rsid w:val="00136CEC"/>
    <w:rsid w:val="00143FB3"/>
    <w:rsid w:val="001739C2"/>
    <w:rsid w:val="00182920"/>
    <w:rsid w:val="001C3B93"/>
    <w:rsid w:val="001C4E30"/>
    <w:rsid w:val="001C7902"/>
    <w:rsid w:val="001E4257"/>
    <w:rsid w:val="001E73D3"/>
    <w:rsid w:val="0020494A"/>
    <w:rsid w:val="00223DCB"/>
    <w:rsid w:val="00232F8E"/>
    <w:rsid w:val="002633EE"/>
    <w:rsid w:val="00293639"/>
    <w:rsid w:val="00296698"/>
    <w:rsid w:val="002A6427"/>
    <w:rsid w:val="002D036D"/>
    <w:rsid w:val="002E0765"/>
    <w:rsid w:val="002E157D"/>
    <w:rsid w:val="002E51CB"/>
    <w:rsid w:val="0031688A"/>
    <w:rsid w:val="00316B18"/>
    <w:rsid w:val="003612D7"/>
    <w:rsid w:val="00384718"/>
    <w:rsid w:val="00397F96"/>
    <w:rsid w:val="003B2E6C"/>
    <w:rsid w:val="003F72DA"/>
    <w:rsid w:val="004274D1"/>
    <w:rsid w:val="0043166D"/>
    <w:rsid w:val="00435DAF"/>
    <w:rsid w:val="0046623F"/>
    <w:rsid w:val="00480E50"/>
    <w:rsid w:val="0049115E"/>
    <w:rsid w:val="004947A5"/>
    <w:rsid w:val="004A373D"/>
    <w:rsid w:val="004D7493"/>
    <w:rsid w:val="004E131D"/>
    <w:rsid w:val="004F1D8B"/>
    <w:rsid w:val="004F2107"/>
    <w:rsid w:val="00560AE5"/>
    <w:rsid w:val="005736BD"/>
    <w:rsid w:val="005741B7"/>
    <w:rsid w:val="0057797A"/>
    <w:rsid w:val="005A42F9"/>
    <w:rsid w:val="005A4971"/>
    <w:rsid w:val="005D67B3"/>
    <w:rsid w:val="00625267"/>
    <w:rsid w:val="0063477B"/>
    <w:rsid w:val="00643102"/>
    <w:rsid w:val="00654278"/>
    <w:rsid w:val="00656AB9"/>
    <w:rsid w:val="00686181"/>
    <w:rsid w:val="006B0F5B"/>
    <w:rsid w:val="006B734A"/>
    <w:rsid w:val="006C48AF"/>
    <w:rsid w:val="006D7720"/>
    <w:rsid w:val="00727446"/>
    <w:rsid w:val="00741D72"/>
    <w:rsid w:val="00743247"/>
    <w:rsid w:val="00754B34"/>
    <w:rsid w:val="00756E0B"/>
    <w:rsid w:val="00762AD1"/>
    <w:rsid w:val="007710CD"/>
    <w:rsid w:val="00781CA2"/>
    <w:rsid w:val="00785E10"/>
    <w:rsid w:val="007870C6"/>
    <w:rsid w:val="00792C10"/>
    <w:rsid w:val="00793314"/>
    <w:rsid w:val="007C3AE2"/>
    <w:rsid w:val="007D2963"/>
    <w:rsid w:val="007D3910"/>
    <w:rsid w:val="007E4E82"/>
    <w:rsid w:val="007F3FEF"/>
    <w:rsid w:val="007F42AE"/>
    <w:rsid w:val="00812F3A"/>
    <w:rsid w:val="00822554"/>
    <w:rsid w:val="00842A00"/>
    <w:rsid w:val="00845CBF"/>
    <w:rsid w:val="00850D69"/>
    <w:rsid w:val="00872A63"/>
    <w:rsid w:val="008A0070"/>
    <w:rsid w:val="008A7C93"/>
    <w:rsid w:val="008E653C"/>
    <w:rsid w:val="00907B30"/>
    <w:rsid w:val="009558A5"/>
    <w:rsid w:val="00964510"/>
    <w:rsid w:val="00970F84"/>
    <w:rsid w:val="00980E7D"/>
    <w:rsid w:val="009A47E8"/>
    <w:rsid w:val="009D3B2A"/>
    <w:rsid w:val="009D569F"/>
    <w:rsid w:val="009E1B7D"/>
    <w:rsid w:val="009E65A8"/>
    <w:rsid w:val="009F7D59"/>
    <w:rsid w:val="00A04373"/>
    <w:rsid w:val="00A701A8"/>
    <w:rsid w:val="00A947E9"/>
    <w:rsid w:val="00A94FCA"/>
    <w:rsid w:val="00AA2B6A"/>
    <w:rsid w:val="00AC1354"/>
    <w:rsid w:val="00AD7E6A"/>
    <w:rsid w:val="00B37175"/>
    <w:rsid w:val="00B379E9"/>
    <w:rsid w:val="00B427A3"/>
    <w:rsid w:val="00B4300C"/>
    <w:rsid w:val="00B6573C"/>
    <w:rsid w:val="00B800BA"/>
    <w:rsid w:val="00B92C45"/>
    <w:rsid w:val="00BB115D"/>
    <w:rsid w:val="00BC09BD"/>
    <w:rsid w:val="00BD0907"/>
    <w:rsid w:val="00BD4198"/>
    <w:rsid w:val="00C051EC"/>
    <w:rsid w:val="00C068B7"/>
    <w:rsid w:val="00C232EC"/>
    <w:rsid w:val="00C32411"/>
    <w:rsid w:val="00C66F63"/>
    <w:rsid w:val="00C71C3C"/>
    <w:rsid w:val="00C76C39"/>
    <w:rsid w:val="00CA5726"/>
    <w:rsid w:val="00CB3EB2"/>
    <w:rsid w:val="00D00A1B"/>
    <w:rsid w:val="00D107D5"/>
    <w:rsid w:val="00D228A4"/>
    <w:rsid w:val="00D97567"/>
    <w:rsid w:val="00DA72EB"/>
    <w:rsid w:val="00E13407"/>
    <w:rsid w:val="00E150AF"/>
    <w:rsid w:val="00E325BE"/>
    <w:rsid w:val="00E4321C"/>
    <w:rsid w:val="00E5158A"/>
    <w:rsid w:val="00E834FA"/>
    <w:rsid w:val="00E853FC"/>
    <w:rsid w:val="00EC24C6"/>
    <w:rsid w:val="00EC3C7A"/>
    <w:rsid w:val="00EE1993"/>
    <w:rsid w:val="00F02832"/>
    <w:rsid w:val="00F77A6A"/>
    <w:rsid w:val="00F849A5"/>
    <w:rsid w:val="00F9042B"/>
    <w:rsid w:val="00FC4CF9"/>
    <w:rsid w:val="00FE25E6"/>
    <w:rsid w:val="00FE2F09"/>
    <w:rsid w:val="00FE6E9F"/>
    <w:rsid w:val="00FF6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1AB9"/>
  <w15:docId w15:val="{41F67D69-FE6B-4273-B2FC-5C2EA0E4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12F3A"/>
    <w:pPr>
      <w:ind w:left="720"/>
      <w:contextualSpacing/>
    </w:pPr>
  </w:style>
  <w:style w:type="character" w:styleId="CommentReference">
    <w:name w:val="annotation reference"/>
    <w:basedOn w:val="DefaultParagraphFont"/>
    <w:uiPriority w:val="99"/>
    <w:semiHidden/>
    <w:unhideWhenUsed/>
    <w:rsid w:val="009558A5"/>
    <w:rPr>
      <w:sz w:val="16"/>
      <w:szCs w:val="16"/>
    </w:rPr>
  </w:style>
  <w:style w:type="paragraph" w:styleId="CommentText">
    <w:name w:val="annotation text"/>
    <w:basedOn w:val="Normal"/>
    <w:link w:val="CommentTextChar"/>
    <w:uiPriority w:val="99"/>
    <w:semiHidden/>
    <w:unhideWhenUsed/>
    <w:rsid w:val="009558A5"/>
    <w:pPr>
      <w:spacing w:line="240" w:lineRule="auto"/>
    </w:pPr>
    <w:rPr>
      <w:sz w:val="20"/>
      <w:szCs w:val="20"/>
    </w:rPr>
  </w:style>
  <w:style w:type="character" w:customStyle="1" w:styleId="CommentTextChar">
    <w:name w:val="Comment Text Char"/>
    <w:basedOn w:val="DefaultParagraphFont"/>
    <w:link w:val="CommentText"/>
    <w:uiPriority w:val="99"/>
    <w:semiHidden/>
    <w:rsid w:val="009558A5"/>
    <w:rPr>
      <w:sz w:val="20"/>
      <w:szCs w:val="20"/>
    </w:rPr>
  </w:style>
  <w:style w:type="paragraph" w:styleId="CommentSubject">
    <w:name w:val="annotation subject"/>
    <w:basedOn w:val="CommentText"/>
    <w:next w:val="CommentText"/>
    <w:link w:val="CommentSubjectChar"/>
    <w:uiPriority w:val="99"/>
    <w:semiHidden/>
    <w:unhideWhenUsed/>
    <w:rsid w:val="009558A5"/>
    <w:rPr>
      <w:b/>
      <w:bCs/>
    </w:rPr>
  </w:style>
  <w:style w:type="character" w:customStyle="1" w:styleId="CommentSubjectChar">
    <w:name w:val="Comment Subject Char"/>
    <w:basedOn w:val="CommentTextChar"/>
    <w:link w:val="CommentSubject"/>
    <w:uiPriority w:val="99"/>
    <w:semiHidden/>
    <w:rsid w:val="009558A5"/>
    <w:rPr>
      <w:b/>
      <w:bCs/>
      <w:sz w:val="20"/>
      <w:szCs w:val="20"/>
    </w:rPr>
  </w:style>
  <w:style w:type="character" w:styleId="Hyperlink">
    <w:name w:val="Hyperlink"/>
    <w:basedOn w:val="DefaultParagraphFont"/>
    <w:uiPriority w:val="99"/>
    <w:unhideWhenUsed/>
    <w:rsid w:val="00D97567"/>
    <w:rPr>
      <w:color w:val="0000FF" w:themeColor="hyperlink"/>
      <w:u w:val="single"/>
    </w:rPr>
  </w:style>
  <w:style w:type="paragraph" w:styleId="Revision">
    <w:name w:val="Revision"/>
    <w:hidden/>
    <w:uiPriority w:val="99"/>
    <w:semiHidden/>
    <w:rsid w:val="00074E76"/>
    <w:pPr>
      <w:spacing w:line="240" w:lineRule="auto"/>
    </w:pPr>
  </w:style>
  <w:style w:type="character" w:styleId="UnresolvedMention">
    <w:name w:val="Unresolved Mention"/>
    <w:basedOn w:val="DefaultParagraphFont"/>
    <w:uiPriority w:val="99"/>
    <w:semiHidden/>
    <w:unhideWhenUsed/>
    <w:rsid w:val="00AA2B6A"/>
    <w:rPr>
      <w:color w:val="605E5C"/>
      <w:shd w:val="clear" w:color="auto" w:fill="E1DFDD"/>
    </w:rPr>
  </w:style>
  <w:style w:type="character" w:styleId="PlaceholderText">
    <w:name w:val="Placeholder Text"/>
    <w:basedOn w:val="DefaultParagraphFont"/>
    <w:uiPriority w:val="99"/>
    <w:semiHidden/>
    <w:rsid w:val="00DA7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45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1136/bmj.g5725" TargetMode="External"/><Relationship Id="rId3" Type="http://schemas.openxmlformats.org/officeDocument/2006/relationships/settings" Target="settings.xml"/><Relationship Id="rId21" Type="http://schemas.openxmlformats.org/officeDocument/2006/relationships/hyperlink" Target="https://doi.org/10.1016/S1473-3099(20)30842-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16/S1473-3099(10)70251-6"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016/S0140-6736(14)60842-4" TargetMode="External"/><Relationship Id="rId10" Type="http://schemas.openxmlformats.org/officeDocument/2006/relationships/image" Target="media/image6.png"/><Relationship Id="rId19" Type="http://schemas.openxmlformats.org/officeDocument/2006/relationships/hyperlink" Target="https://doi.org/10.1016/j.vaccine.2013.03.03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ov.uk/government/publications/meningococcal-disease-laboratory-confirmed-cases-in-england-and-w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dc:creator>
  <cp:lastModifiedBy>Liza Hadley</cp:lastModifiedBy>
  <cp:revision>2</cp:revision>
  <dcterms:created xsi:type="dcterms:W3CDTF">2023-05-02T12:42:00Z</dcterms:created>
  <dcterms:modified xsi:type="dcterms:W3CDTF">2023-05-02T12:42:00Z</dcterms:modified>
</cp:coreProperties>
</file>