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CONSTATAÇÃO DE VESTÍGIOS BALÍSTICOS)</w:t>
      </w:r>
    </w:p>
    <w:p>
      <w:pPr>
        <w:pStyle w:val="right"/>
      </w:pPr>
      <w:r>
        <w:rPr>
          <w:rFonts w:ascii="Arial" w:hAnsi="Arial" w:eastAsia="Arial" w:cs="Arial"/>
          <w:sz w:val="24"/>
          <w:szCs w:val="24"/>
          <w:b w:val="1"/>
          <w:bCs w:val="1"/>
        </w:rPr>
        <w:t xml:space="preserve">Código: B601 - CONSTATAÇÃO</w:t>
      </w:r>
    </w:p>
    <w:p/>
    <w:p>
      <w:pPr>
        <w:pStyle w:val="justify"/>
      </w:pPr>
      <w:r>
        <w:rPr>
          <w:rFonts w:ascii="Arial" w:hAnsi="Arial" w:eastAsia="Arial" w:cs="Arial"/>
          <w:sz w:val="24"/>
          <w:szCs w:val="24"/>
          <w:b w:val="0"/>
          <w:bCs w:val="0"/>
        </w:rPr>
        <w:t xml:space="preserve">Aos treze dias do mês de março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Rafael Araújo da Silva</w:t>
      </w:r>
      <w:r>
        <w:rPr>
          <w:rFonts w:ascii="Arial" w:hAnsi="Arial" w:eastAsia="Arial" w:cs="Arial"/>
          <w:sz w:val="24"/>
          <w:szCs w:val="24"/>
          <w:b w:val="0"/>
          <w:bCs w:val="0"/>
        </w:rPr>
        <w:t xml:space="preserve">, para proceder ao exame dos vestígios balísticos abaixo discriminados, recebidos nesta Seção em 05/01/2023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constatação de calibre nominal,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IGOR DA LUZ MIRANDA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01/01/2023</w:t>
            </w:r>
          </w:p>
        </w:tc>
        <w:tc>
          <w:tcPr>
            <w:tcW w:w="1000" w:type="dxa"/>
          </w:tcPr>
          <w:p>
            <w:pPr>
              <w:jc w:val="center"/>
            </w:pPr>
            <w:r>
              <w:rPr>
                <w:b w:val="1"/>
                <w:bCs w:val="1"/>
              </w:rPr>
              <w:t xml:space="preserve">Local:</w:t>
            </w:r>
          </w:p>
        </w:tc>
        <w:tc>
          <w:tcPr>
            <w:tcW w:w="3050" w:type="dxa"/>
          </w:tcPr>
          <w:p>
            <w:pPr>
              <w:jc w:val="center"/>
            </w:pPr>
            <w:r>
              <w:rPr/>
              <w:t xml:space="preserve">CAMPO LARGO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848/2023</w:t>
            </w:r>
          </w:p>
        </w:tc>
        <w:tc>
          <w:tcPr>
            <w:tcW w:w="1000" w:type="dxa"/>
          </w:tcPr>
          <w:p>
            <w:pPr>
              <w:jc w:val="center"/>
            </w:pPr>
            <w:r>
              <w:rPr>
                <w:b w:val="1"/>
                <w:bCs w:val="1"/>
              </w:rPr>
              <w:t xml:space="preserve">Nº do IP:</w:t>
            </w:r>
          </w:p>
        </w:tc>
        <w:tc>
          <w:tcPr>
            <w:tcW w:w="3050" w:type="dxa"/>
          </w:tcPr>
          <w:p>
            <w:pPr>
              <w:jc w:val="center"/>
            </w:pPr>
            <w:r>
              <w:rPr/>
              <w:t xml:space="preserve">8192/2023</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3ª DELEGACIA REGIONAL DE POLÍCIA DE CAMPO LARGO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Unidade de Execução Técnico-científica, em embalagens plásticas transparentes lacradas, o seguinte material:</w:t>
      </w:r>
    </w:p>
    <w:p/>
    <w:tbl>
      <w:tblGrid>
        <w:gridCol/>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 </w:t>
            </w:r>
          </w:p>
        </w:tc>
      </w:tr>
      <w:tr>
        <w:trPr>
          <w:trHeight w:val="10" w:hRule="atLeast"/>
          <w:tblHeader w:val="1"/>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PROJETIL</w:t>
            </w:r>
          </w:p>
        </w:tc>
        <w:tc>
          <w:tcPr/>
          <w:p>
            <w:pPr>
              <w:jc w:val="center"/>
            </w:pPr>
            <w:r>
              <w:rPr/>
              <w:t xml:space="preserve">1</w:t>
            </w:r>
          </w:p>
        </w:tc>
        <w:tc>
          <w:tcPr/>
          <w:p>
            <w:pPr>
              <w:jc w:val="center"/>
            </w:pPr>
            <w:r>
              <w:rPr/>
              <w:t xml:space="preserve">Necrotério</w:t>
            </w:r>
          </w:p>
        </w:tc>
        <w:tc>
          <w:tcPr/>
          <w:p>
            <w:pPr>
              <w:jc w:val="center"/>
            </w:pPr>
            <w:r>
              <w:rPr/>
              <w:t xml:space="preserve">000042/2023</w:t>
            </w:r>
          </w:p>
        </w:tc>
        <w:tc>
          <w:tcPr/>
          <w:p>
            <w:pPr>
              <w:jc w:val="center"/>
            </w:pPr>
            <w:r>
              <w:rPr/>
              <w:t xml:space="preserve">000075/2023</w:t>
            </w:r>
          </w:p>
        </w:tc>
        <w:tc>
          <w:tcPr/>
          <w:p>
            <w:pPr>
              <w:jc w:val="center"/>
            </w:pPr>
            <w:r>
              <w:rPr/>
              <w:t xml:space="preserve">0000060311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PROJÉTEIS:</w:t>
      </w:r>
    </w:p>
    <w:p>
      <w:pPr>
        <w:pStyle w:val="justify"/>
      </w:pPr>
      <w:r>
        <w:rPr>
          <w:rFonts w:ascii="Arial" w:hAnsi="Arial" w:eastAsia="Arial" w:cs="Arial"/>
          <w:sz w:val="24"/>
          <w:szCs w:val="24"/>
          <w:b w:val="0"/>
          <w:bCs w:val="0"/>
        </w:rPr>
        <w:t xml:space="preserve">Trata-se de projetil provenientes de munição própria para uso em armas de fogo, integralmente descritos no quadro a seguir:</w:t>
      </w:r>
    </w:p>
    <w:p/>
    <w:tbl>
      <w:tblGrid>
        <w:gridCol/>
        <w:gridCol/>
      </w:tblGrid>
      <w:tblPr>
        <w:tblStyle w:val="tabela"/>
      </w:tblPr>
      <w:tr>
        <w:trPr>
          <w:trHeight w:val="10" w:hRule="atLeast"/>
          <w:tblHeader w:val="1"/>
        </w:trPr>
        <w:tc>
          <w:tcPr>
            <w:shd w:val="clear" w:fill="d3d3d3"/>
          </w:tcPr>
          <w:p>
            <w:pPr>
              <w:jc w:val="center"/>
            </w:pPr>
            <w:r>
              <w:rPr>
                <w:b w:val="1"/>
                <w:bCs w:val="1"/>
              </w:rPr>
              <w:t xml:space="preserve"> TABELA 1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r>
      <w:tr>
        <w:trPr>
          <w:trHeight w:val="10" w:hRule="atLeast"/>
        </w:trPr>
        <w:tc>
          <w:tcPr/>
          <w:p>
            <w:pPr>
              <w:jc w:val="center"/>
            </w:pPr>
            <w:r>
              <w:rPr>
                <w:b w:val="1"/>
                <w:bCs w:val="1"/>
              </w:rPr>
              <w:t xml:space="preserve">Origem</w:t>
            </w:r>
          </w:p>
        </w:tc>
        <w:tc>
          <w:tcPr/>
          <w:p>
            <w:pPr>
              <w:jc w:val="center"/>
            </w:pPr>
            <w:r>
              <w:rPr/>
              <w:t xml:space="preserve">NECROTÉRIO/ REP 000042/2023</w:t>
            </w:r>
          </w:p>
        </w:tc>
      </w:tr>
      <w:tr>
        <w:trPr>
          <w:trHeight w:val="10" w:hRule="atLeast"/>
        </w:trPr>
        <w:tc>
          <w:tcPr/>
          <w:p>
            <w:pPr>
              <w:jc w:val="center"/>
            </w:pPr>
            <w:r>
              <w:rPr>
                <w:b w:val="1"/>
                <w:bCs w:val="1"/>
              </w:rPr>
              <w:t xml:space="preserve">Tipo</w:t>
            </w:r>
          </w:p>
        </w:tc>
        <w:tc>
          <w:tcPr/>
          <w:p>
            <w:pPr>
              <w:jc w:val="center"/>
            </w:pPr>
            <w:r>
              <w:rPr/>
              <w:t xml:space="preserve">FRAGMENTO DE PROJÉTIL</w:t>
            </w:r>
          </w:p>
        </w:tc>
      </w:tr>
      <w:tr>
        <w:trPr>
          <w:trHeight w:val="10" w:hRule="atLeast"/>
        </w:trPr>
        <w:tc>
          <w:tcPr/>
          <w:p>
            <w:pPr>
              <w:jc w:val="center"/>
            </w:pPr>
            <w:r>
              <w:rPr>
                <w:b w:val="1"/>
                <w:bCs w:val="1"/>
              </w:rPr>
              <w:t xml:space="preserve">Constituição e formato</w:t>
            </w:r>
          </w:p>
        </w:tc>
        <w:tc>
          <w:tcPr/>
          <w:p>
            <w:pPr>
              <w:jc w:val="center"/>
            </w:pPr>
            <w:r>
              <w:rPr/>
              <w:t xml:space="preserve">CHUMBO AMOLGADO</w:t>
            </w:r>
          </w:p>
        </w:tc>
      </w:tr>
      <w:tr>
        <w:trPr>
          <w:trHeight w:val="10" w:hRule="atLeast"/>
        </w:trPr>
        <w:tc>
          <w:tcPr/>
          <w:p>
            <w:pPr>
              <w:jc w:val="center"/>
            </w:pPr>
            <w:r>
              <w:rPr>
                <w:b w:val="1"/>
                <w:bCs w:val="1"/>
              </w:rPr>
              <w:t xml:space="preserve">Massa (g)</w:t>
            </w:r>
          </w:p>
        </w:tc>
        <w:tc>
          <w:tcPr/>
          <w:p>
            <w:pPr>
              <w:jc w:val="center"/>
            </w:pPr>
            <w:r>
              <w:rPr/>
              <w:t xml:space="preserve">6,378</w:t>
            </w:r>
          </w:p>
        </w:tc>
      </w:tr>
      <w:tr>
        <w:trPr>
          <w:trHeight w:val="10" w:hRule="atLeast"/>
        </w:trPr>
        <w:tc>
          <w:tcPr/>
          <w:p>
            <w:pPr>
              <w:jc w:val="center"/>
            </w:pPr>
            <w:r>
              <w:rPr>
                <w:b w:val="1"/>
                <w:bCs w:val="1"/>
              </w:rPr>
              <w:t xml:space="preserve">Calibre real médio (mm)</w:t>
            </w:r>
          </w:p>
        </w:tc>
        <w:tc>
          <w:tcPr/>
          <w:p>
            <w:pPr>
              <w:jc w:val="center"/>
            </w:pPr>
            <w:r>
              <w:rPr/>
              <w:t xml:space="preserve">9,1</w:t>
            </w:r>
          </w:p>
        </w:tc>
      </w:tr>
      <w:tr>
        <w:trPr>
          <w:trHeight w:val="10" w:hRule="atLeast"/>
        </w:trPr>
        <w:tc>
          <w:tcPr/>
          <w:p>
            <w:pPr>
              <w:jc w:val="center"/>
            </w:pPr>
            <w:r>
              <w:rPr>
                <w:b w:val="1"/>
                <w:bCs w:val="1"/>
              </w:rPr>
              <w:t xml:space="preserve">Altura máxima (mm)</w:t>
            </w:r>
          </w:p>
        </w:tc>
        <w:tc>
          <w:tcPr/>
          <w:p>
            <w:pPr>
              <w:jc w:val="center"/>
            </w:pPr>
            <w:r>
              <w:rPr/>
              <w:t xml:space="preserve">11,31</w:t>
            </w:r>
          </w:p>
        </w:tc>
      </w:tr>
      <w:tr>
        <w:trPr>
          <w:trHeight w:val="10" w:hRule="atLeast"/>
        </w:trPr>
        <w:tc>
          <w:tcPr/>
          <w:p>
            <w:pPr>
              <w:jc w:val="center"/>
            </w:pPr>
            <w:r>
              <w:rPr>
                <w:b w:val="1"/>
                <w:bCs w:val="1"/>
              </w:rPr>
              <w:t xml:space="preserve">Provável calibre nominal</w:t>
            </w:r>
          </w:p>
        </w:tc>
        <w:tc>
          <w:tcPr/>
          <w:p>
            <w:pPr>
              <w:jc w:val="center"/>
            </w:pPr>
            <w:r>
              <w:rPr/>
              <w:t xml:space="preserve">.38SPL ou similar</w:t>
            </w:r>
          </w:p>
        </w:tc>
      </w:tr>
      <w:tr>
        <w:trPr>
          <w:trHeight w:val="10" w:hRule="atLeast"/>
        </w:trPr>
        <w:tc>
          <w:tcPr/>
          <w:p>
            <w:pPr>
              <w:jc w:val="center"/>
            </w:pPr>
            <w:r>
              <w:rPr>
                <w:b w:val="1"/>
                <w:bCs w:val="1"/>
              </w:rPr>
              <w:t xml:space="preserve">Cavados e Ressaltos</w:t>
            </w:r>
          </w:p>
        </w:tc>
        <w:tc>
          <w:tcPr/>
          <w:p>
            <w:pPr>
              <w:jc w:val="center"/>
            </w:pPr>
            <w:r>
              <w:rPr/>
              <w:t xml:space="preserve">2/2</w:t>
            </w:r>
          </w:p>
        </w:tc>
      </w:tr>
      <w:tr>
        <w:trPr>
          <w:trHeight w:val="10" w:hRule="atLeast"/>
        </w:trPr>
        <w:tc>
          <w:tcPr/>
          <w:p>
            <w:pPr>
              <w:jc w:val="center"/>
            </w:pPr>
            <w:r>
              <w:rPr>
                <w:b w:val="1"/>
                <w:bCs w:val="1"/>
              </w:rPr>
              <w:t xml:space="preserve">Raiamento e Orientação</w:t>
            </w:r>
          </w:p>
        </w:tc>
        <w:tc>
          <w:tcPr/>
          <w:p>
            <w:pPr>
              <w:jc w:val="center"/>
            </w:pPr>
            <w:r>
              <w:rPr/>
              <w:t xml:space="preserve">6 RAIAS DEXTRÓGIRO</w:t>
            </w:r>
          </w:p>
        </w:tc>
      </w:tr>
      <w:tr>
        <w:trPr>
          <w:trHeight w:val="10" w:hRule="atLeast"/>
        </w:trPr>
        <w:tc>
          <w:tcPr/>
          <w:p>
            <w:pPr>
              <w:jc w:val="center"/>
            </w:pPr>
            <w:r>
              <w:rPr>
                <w:b w:val="1"/>
                <w:bCs w:val="1"/>
              </w:rPr>
              <w:t xml:space="preserve">Tipo de Raiamento</w:t>
            </w:r>
          </w:p>
        </w:tc>
        <w:tc>
          <w:tcPr/>
          <w:p>
            <w:pPr>
              <w:jc w:val="center"/>
            </w:pPr>
            <w:r>
              <w:rPr/>
              <w:t xml:space="preserve">CONVENCIONAL</w:t>
            </w:r>
          </w:p>
        </w:tc>
      </w:tr>
      <w:tr>
        <w:trPr>
          <w:trHeight w:val="10" w:hRule="atLeast"/>
        </w:trPr>
        <w:tc>
          <w:tcPr/>
          <w:p>
            <w:pPr>
              <w:jc w:val="center"/>
            </w:pPr>
            <w:r>
              <w:rPr>
                <w:b w:val="1"/>
                <w:bCs w:val="1"/>
              </w:rPr>
              <w:t xml:space="preserve">Deformações Acidentais</w:t>
            </w:r>
          </w:p>
        </w:tc>
        <w:tc>
          <w:tcPr/>
          <w:p>
            <w:pPr>
              <w:jc w:val="center"/>
            </w:pPr>
            <w:r>
              <w:rPr/>
              <w:t xml:space="preserve">GRANDES NA PONTA/MÉDIAS NA LATERAL/MÉDIAS NA BASE</w:t>
            </w:r>
          </w:p>
        </w:tc>
      </w:tr>
      <w:tr>
        <w:trPr>
          <w:trHeight w:val="10" w:hRule="atLeast"/>
        </w:trPr>
        <w:tc>
          <w:tcPr/>
          <w:p>
            <w:pPr>
              <w:jc w:val="center"/>
            </w:pPr>
            <w:r>
              <w:rPr>
                <w:b w:val="1"/>
                <w:bCs w:val="1"/>
              </w:rPr>
              <w:t xml:space="preserve">Aderências </w:t>
            </w:r>
          </w:p>
        </w:tc>
        <w:tc>
          <w:tcPr/>
          <w:p>
            <w:pPr>
              <w:jc w:val="center"/>
            </w:pPr>
            <w:r>
              <w:rPr/>
              <w:t xml:space="preserve">TOD</w:t>
            </w:r>
          </w:p>
        </w:tc>
      </w:tr>
      <w:tr>
        <w:trPr>
          <w:trHeight w:val="10" w:hRule="atLeast"/>
        </w:trPr>
        <w:tc>
          <w:tcPr/>
          <w:p>
            <w:pPr/>
            <w:r>
              <w:rPr>
                <w:sz w:val="18"/>
                <w:szCs w:val="18"/>
                <w:b w:val="1"/>
                <w:bCs w:val="1"/>
              </w:rPr>
              <w:t xml:space="preserve">Legenda:</w:t>
            </w:r>
          </w:p>
          <w:p>
            <w:pPr/>
            <w:r>
              <w:rPr>
                <w:sz w:val="16"/>
                <w:szCs w:val="16"/>
                <w:b w:val="0"/>
                <w:bCs w:val="0"/>
              </w:rPr>
              <w:t xml:space="preserve">CHUMBO AMOLGADO--, TOD--tecido Orgânico dessecado</w:t>
            </w:r>
          </w:p>
        </w:tc>
      </w:tr>
    </w:tbl>
    <w:p/>
    <w:p/>
    <w:p>
      <w:pPr>
        <w:pStyle w:val="justify"/>
      </w:pPr>
      <w:r>
        <w:rPr>
          <w:rFonts w:ascii="Arial" w:hAnsi="Arial" w:eastAsia="Arial" w:cs="Arial"/>
          <w:sz w:val="24"/>
          <w:szCs w:val="24"/>
          <w:b w:val="1"/>
          <w:bCs w:val="1"/>
        </w:rPr>
        <w:t xml:space="preserve">4.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5. 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Rafael Araújo da Silva</w:t>
            </w:r>
          </w:p>
          <w:p>
            <w:pPr>
              <w:jc w:val="center"/>
            </w:pPr>
            <w:r>
              <w:rPr>
                <w:sz w:val="28"/>
                <w:szCs w:val="28"/>
                <w:b w:val="1"/>
                <w:bCs w:val="1"/>
              </w:rPr>
              <w:t xml:space="preserve">Perito Criminal – Seção de Balística Forense</w:t>
            </w:r>
          </w:p>
          <w:p>
            <w:pPr>
              <w:jc w:val="center"/>
            </w:pPr>
            <w:r>
              <w:rPr>
                <w:sz w:val="28"/>
                <w:szCs w:val="28"/>
                <w:b w:val="1"/>
                <w:bCs w:val="1"/>
              </w:rPr>
              <w:t xml:space="preserve">UETC Curitiba – Polícia Científica do Paraná</w:t>
            </w:r>
          </w:p>
        </w:tc>
      </w:tr>
    </w:tbl>
    <w:sectPr>
      <w:headerReference w:type="default" r:id="rId9"/>
      <w:foot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000075/2023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2023-03-15T14:04:46+00:00</dcterms:created>
  <dcterms:modified xsi:type="dcterms:W3CDTF">2023-03-15T14:04:46+00:00</dcterms:modified>
</cp:coreProperties>
</file>

<file path=docProps/custom.xml><?xml version="1.0" encoding="utf-8"?>
<Properties xmlns="http://schemas.openxmlformats.org/officeDocument/2006/custom-properties" xmlns:vt="http://schemas.openxmlformats.org/officeDocument/2006/docPropsVTypes"/>
</file>