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EFICIÊNCIA EM ARMA DE FOGO E MUNIÇÃO)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quatorze dias do mês de junho do ano de dois mil e vinte e três,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materiais abaixo discriminados recebidos nesta Seção em 14/06/2023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a fim de ser atendida solicitação contida no Ofício nº 6551, datado de 14/06/2023, oriundo da testando.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2000" w:type="dxa"/>
        <w:gridCol w:w="2500" w:type="dxa"/>
        <w:gridCol w:w="1000" w:type="dxa"/>
        <w:gridCol w:w="3502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DSGSDFG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ABATIÁ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/>
              <w:t xml:space="preserve">45645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BO:</w:t>
            </w:r>
          </w:p>
        </w:tc>
        <w:tc>
          <w:tcPr>
            <w:tcW w:w="3502" w:type="dxa"/>
          </w:tcPr>
          <w:p>
            <w:pPr>
              <w:jc w:val="center"/>
            </w:pPr>
            <w:r>
              <w:rPr/>
              <w:t xml:space="preserve">54645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TESTANDO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conforme ofício recebido,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20</w:t>
            </w:r>
          </w:p>
        </w:tc>
        <w:tc>
          <w:tcPr/>
          <w:p>
            <w:pPr>
              <w:jc w:val="center"/>
            </w:pPr>
            <w:r>
              <w:rPr/>
              <w:t xml:space="preserve">FRAGMENTO DE PROJÉTIL</w:t>
            </w:r>
          </w:p>
        </w:tc>
        <w:tc>
          <w:tcPr/>
          <w:p>
            <w:pPr>
              <w:jc w:val="center"/>
            </w:pPr>
            <w:r>
              <w:rPr/>
              <w:t xml:space="preserve">20</w:t>
            </w:r>
          </w:p>
        </w:tc>
        <w:tc>
          <w:tcPr/>
          <w:p>
            <w:pPr>
              <w:jc w:val="center"/>
            </w:pPr>
            <w:r>
              <w:rPr/>
              <w:t xml:space="preserve">32122</w:t>
            </w:r>
          </w:p>
        </w:tc>
      </w:tr>
    </w:tbl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3.1 DOS PROJÉTEIS: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</w:t>
      </w: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vinte projétil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provenientes de munição própria para uso em armas de fogo, integralmente descritos no quadro a seguir:</w:t>
      </w:r>
    </w:p>
    <w:p/>
    <w:tbl>
      <w:tblGrid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3 –  DESCRIÇÃO DOS PROJÉTEIS</w:t>
            </w:r>
          </w:p>
        </w:tc>
      </w:t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/>
              <w:t xml:space="preserve"> REP 321/2023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/>
              <w:t xml:space="preserve">FRAGMENTO DE PROJÉTIL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Constituição e formato</w:t>
            </w:r>
          </w:p>
        </w:tc>
        <w:tc>
          <w:tcPr/>
          <w:p>
            <w:pPr>
              <w:jc w:val="center"/>
            </w:pPr>
            <w:r>
              <w:rPr/>
              <w:t xml:space="preserve">CHOG</w:t>
            </w:r>
          </w:p>
          <w:p>
            <w:pPr>
              <w:jc w:val="center"/>
            </w:pPr>
            <w:r>
              <w:rPr/>
              <w:t xml:space="preserve">TINTA AZUL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Massa (g)</w:t>
            </w:r>
          </w:p>
        </w:tc>
        <w:tc>
          <w:tcPr/>
          <w:p>
            <w:pPr>
              <w:jc w:val="center"/>
            </w:pPr>
            <w:r>
              <w:rPr/>
              <w:t xml:space="preserve">20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real médio (mm)</w:t>
            </w:r>
          </w:p>
        </w:tc>
        <w:tc>
          <w:tcPr/>
          <w:p>
            <w:pPr>
              <w:jc w:val="center"/>
            </w:pPr>
            <w:r>
              <w:rPr/>
              <w:t xml:space="preserve">20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Altura máxima (mm)</w:t>
            </w:r>
          </w:p>
        </w:tc>
        <w:tc>
          <w:tcPr/>
          <w:p>
            <w:pPr>
              <w:jc w:val="center"/>
            </w:pPr>
            <w:r>
              <w:rPr/>
              <w:t xml:space="preserve">20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Provável calibre nominal</w:t>
            </w:r>
          </w:p>
        </w:tc>
        <w:tc>
          <w:tcPr/>
          <w:p>
            <w:pPr>
              <w:jc w:val="center"/>
            </w:pPr>
            <w:r>
              <w:rPr/>
              <w:t xml:space="preserve">20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Cavados e Ressaltos</w:t>
            </w:r>
          </w:p>
        </w:tc>
        <w:tc>
          <w:tcPr/>
          <w:p>
            <w:pPr>
              <w:jc w:val="center"/>
            </w:pPr>
            <w:r>
              <w:rPr/>
              <w:t xml:space="preserve">20/20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Raiamento e Orientação</w:t>
            </w:r>
          </w:p>
        </w:tc>
        <w:tc>
          <w:tcPr/>
          <w:p>
            <w:pPr>
              <w:jc w:val="center"/>
            </w:pPr>
            <w:r>
              <w:rPr/>
              <w:t xml:space="preserve">20 RAIAS DEXTRÓGIRO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 de Raiamento</w:t>
            </w:r>
          </w:p>
        </w:tc>
        <w:tc>
          <w:tcPr/>
          <w:p>
            <w:pPr>
              <w:jc w:val="center"/>
            </w:pPr>
            <w:r>
              <w:rPr/>
              <w:t xml:space="preserve">CONVENCIONAL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Deformações Acidentais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PONTA, GRANDES NA BASE, GRANDES POR TODA EXTENSÃO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Aderências </w:t>
            </w:r>
          </w:p>
        </w:tc>
        <w:tc>
          <w:tcPr/>
          <w:p>
            <w:pPr>
              <w:jc w:val="center"/>
            </w:pPr>
            <w:r>
              <w:rPr/>
              <w:t xml:space="preserve">NNI, MADEIRA, TERRA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Legenda:</w:t>
            </w:r>
          </w:p>
          <w:p>
            <w:pPr/>
            <w:r>
              <w:rPr>
                <w:sz w:val="16"/>
                <w:szCs w:val="16"/>
                <w:b w:val="0"/>
                <w:bCs w:val="0"/>
              </w:rPr>
              <w:t xml:space="preserve">CHOG Chumbo Ogival NNI natureza não identificada 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Usuário Admin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Guarapuava – Polícia Científica do Paraná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1651/2023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2023-06-14T17:52:44+00:00</dcterms:created>
  <dcterms:modified xsi:type="dcterms:W3CDTF">2023-06-14T17:52:44+00:00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