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29/03/2022</w:t>
      </w:r>
      <w:r>
        <w:rPr>
          <w:rFonts w:ascii="Arial" w:hAnsi="Arial" w:eastAsia="Arial" w:cs="Arial"/>
          <w:sz w:val="24"/>
          <w:szCs w:val="24"/>
          <w:b w:val="0"/>
          <w:bCs w:val="0"/>
        </w:rPr>
        <w:t xml:space="preserve"> a fim de ser atendida solicitação contida no Ofício nº 260, datado de 11/03/2022,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254082</w:t>
            </w:r>
          </w:p>
        </w:tc>
        <w:tc>
          <w:tcPr>
            <w:tcW w:w="1000" w:type="dxa"/>
          </w:tcPr>
          <w:p>
            <w:pPr>
              <w:jc w:val="center"/>
            </w:pPr>
            <w:r>
              <w:rPr>
                <w:b w:val="1"/>
                <w:bCs w:val="1"/>
              </w:rPr>
              <w:t xml:space="preserve">Nº do IP/APFD:</w:t>
            </w:r>
          </w:p>
        </w:tc>
        <w:tc>
          <w:tcPr>
            <w:tcW w:w="3502" w:type="dxa"/>
          </w:tcPr>
          <w:p>
            <w:pPr>
              <w:jc w:val="center"/>
            </w:pPr>
            <w:r>
              <w:rPr/>
              <w:t xml:space="preserve">49834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FUZIL</w:t>
            </w:r>
          </w:p>
        </w:tc>
        <w:tc>
          <w:tcPr/>
          <w:p>
            <w:pPr>
              <w:jc w:val="center"/>
            </w:pPr>
            <w:r>
              <w:rPr/>
              <w:t xml:space="preserve"/>
            </w:r>
          </w:p>
        </w:tc>
        <w:tc>
          <w:tcPr/>
          <w:p>
            <w:pPr>
              <w:jc w:val="center"/>
            </w:pPr>
            <w:r>
              <w:rPr/>
              <w:t xml:space="preserve">78948</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FUZIL</w:t>
            </w:r>
          </w:p>
        </w:tc>
        <w:tc>
          <w:tcPr/>
          <w:p>
            <w:pPr>
              <w:jc w:val="center"/>
            </w:pPr>
            <w:r>
              <w:rPr/>
              <w:t xml:space="preserve"/>
            </w:r>
          </w:p>
        </w:tc>
        <w:tc>
          <w:tcPr/>
          <w:p>
            <w:pPr>
              <w:jc w:val="center"/>
            </w:pPr>
            <w:r>
              <w:rPr/>
              <w:t xml:space="preserve">78948</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12343412</w:t>
            </w:r>
          </w:p>
        </w:tc>
      </w:tr>
      <w:tr>
        <w:trPr>
          <w:trHeight w:val="10" w:hRule="atLeast"/>
          <w:tblHeader w:val="1"/>
        </w:trPr>
        <w:tc>
          <w:tcPr/>
          <w:p>
            <w:pPr>
              <w:jc w:val="center"/>
            </w:pPr>
            <w:r>
              <w:rPr/>
              <w:t xml:space="preserve">4</w:t>
            </w:r>
          </w:p>
        </w:tc>
        <w:tc>
          <w:tcPr/>
          <w:p>
            <w:pPr>
              <w:jc w:val="center"/>
            </w:pPr>
            <w:r>
              <w:rPr/>
              <w:t xml:space="preserve">PROJETIL</w:t>
            </w:r>
          </w:p>
        </w:tc>
        <w:tc>
          <w:tcPr/>
          <w:p>
            <w:pPr>
              <w:jc w:val="center"/>
            </w:pPr>
            <w:r>
              <w:rPr/>
              <w:t xml:space="preserve">20</w:t>
            </w:r>
          </w:p>
        </w:tc>
        <w:tc>
          <w:tcPr/>
          <w:p>
            <w:pPr>
              <w:jc w:val="center"/>
            </w:pPr>
            <w:r>
              <w:rPr/>
              <w:t xml:space="preserve">PROJÉTIL</w:t>
            </w:r>
          </w:p>
        </w:tc>
        <w:tc>
          <w:tcPr/>
          <w:p>
            <w:pPr>
              <w:jc w:val="center"/>
            </w:pPr>
            <w:r>
              <w:rPr/>
              <w:t xml:space="preserve">20</w:t>
            </w:r>
          </w:p>
        </w:tc>
        <w:tc>
          <w:tcPr/>
          <w:p>
            <w:pPr>
              <w:jc w:val="center"/>
            </w:pPr>
            <w:r>
              <w:rPr/>
              <w:t xml:space="preserve">12343412</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projétil</w:t>
      </w:r>
      <w:r>
        <w:rPr>
          <w:rFonts w:ascii="Arial" w:hAnsi="Arial" w:eastAsia="Arial" w:cs="Arial"/>
          <w:sz w:val="24"/>
          <w:szCs w:val="24"/>
          <w:b w:val="0"/>
          <w:bCs w:val="0"/>
        </w:rPr>
        <w:t xml:space="preserve"> provenientes de munição própria para uso em armas de fogo, integralmente descritos no quadro a seguir:</w:t>
      </w:r>
    </w:p>
    <w:p/>
    <w:tbl>
      <w:tblGrid>
        <w:gridCol/>
        <w:gridCol/>
      </w:tblGrid>
      <w:tblPr>
        <w:tblStyle w:val="tabela"/>
      </w:tblPr>
      <w:tr>
        <w:trPr>
          <w:trHeight w:val="10" w:hRule="atLeast"/>
          <w:tblHeader w:val="1"/>
        </w:trPr>
        <w:tc>
          <w:tcPr>
            <w:shd w:val="clear" w:fill="d3d3d3"/>
          </w:tcPr>
          <w:p>
            <w:pPr>
              <w:jc w:val="center"/>
            </w:pPr>
            <w:r>
              <w:rPr>
                <w:b w:val="1"/>
                <w:bCs w:val="1"/>
              </w:rPr>
              <w:t xml:space="preserve"> TABELA 3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12312 REP 123123/ 123123</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p>
            <w:pPr>
              <w:jc w:val="center"/>
            </w:pPr>
            <w:r>
              <w:rPr/>
              <w:t xml:space="preserve">12312</w:t>
            </w:r>
          </w:p>
        </w:tc>
      </w:tr>
      <w:tr>
        <w:trPr>
          <w:trHeight w:val="10" w:hRule="atLeast"/>
        </w:trPr>
        <w:tc>
          <w:tcPr/>
          <w:p>
            <w:pPr>
              <w:jc w:val="center"/>
            </w:pPr>
            <w:r>
              <w:rPr>
                <w:b w:val="1"/>
                <w:bCs w:val="1"/>
              </w:rPr>
              <w:t xml:space="preserve">Massa (g)</w:t>
            </w:r>
          </w:p>
        </w:tc>
        <w:tc>
          <w:tcPr/>
          <w:p>
            <w:pPr>
              <w:jc w:val="center"/>
            </w:pPr>
            <w:r>
              <w:rPr/>
              <w:t xml:space="preserve">20</w:t>
            </w:r>
          </w:p>
        </w:tc>
      </w:tr>
      <w:tr>
        <w:trPr>
          <w:trHeight w:val="10" w:hRule="atLeast"/>
        </w:trPr>
        <w:tc>
          <w:tcPr/>
          <w:p>
            <w:pPr>
              <w:jc w:val="center"/>
            </w:pPr>
            <w:r>
              <w:rPr>
                <w:b w:val="1"/>
                <w:bCs w:val="1"/>
              </w:rPr>
              <w:t xml:space="preserve">Calibre real médio (mm)</w:t>
            </w:r>
          </w:p>
        </w:tc>
        <w:tc>
          <w:tcPr/>
          <w:p>
            <w:pPr>
              <w:jc w:val="center"/>
            </w:pPr>
            <w:r>
              <w:rPr/>
              <w:t xml:space="preserve">20</w:t>
            </w:r>
          </w:p>
        </w:tc>
      </w:tr>
      <w:tr>
        <w:trPr>
          <w:trHeight w:val="10" w:hRule="atLeast"/>
        </w:trPr>
        <w:tc>
          <w:tcPr/>
          <w:p>
            <w:pPr>
              <w:jc w:val="center"/>
            </w:pPr>
            <w:r>
              <w:rPr>
                <w:b w:val="1"/>
                <w:bCs w:val="1"/>
              </w:rPr>
              <w:t xml:space="preserve">Altura máxima (mm)</w:t>
            </w:r>
          </w:p>
        </w:tc>
        <w:tc>
          <w:tcPr/>
          <w:p>
            <w:pPr>
              <w:jc w:val="center"/>
            </w:pPr>
            <w:r>
              <w:rPr/>
              <w:t xml:space="preserve">20</w:t>
            </w:r>
          </w:p>
        </w:tc>
      </w:tr>
      <w:tr>
        <w:trPr>
          <w:trHeight w:val="10" w:hRule="atLeast"/>
        </w:trPr>
        <w:tc>
          <w:tcPr/>
          <w:p>
            <w:pPr>
              <w:jc w:val="center"/>
            </w:pPr>
            <w:r>
              <w:rPr>
                <w:b w:val="1"/>
                <w:bCs w:val="1"/>
              </w:rPr>
              <w:t xml:space="preserve">Provável calibre nominal</w:t>
            </w:r>
          </w:p>
        </w:tc>
        <w:tc>
          <w:tcPr/>
          <w:p>
            <w:pPr>
              <w:jc w:val="center"/>
            </w:pPr>
            <w:r>
              <w:rPr/>
              <w:t xml:space="preserve">20</w:t>
            </w:r>
          </w:p>
        </w:tc>
      </w:tr>
      <w:tr>
        <w:trPr>
          <w:trHeight w:val="10" w:hRule="atLeast"/>
        </w:trPr>
        <w:tc>
          <w:tcPr/>
          <w:p>
            <w:pPr>
              <w:jc w:val="center"/>
            </w:pPr>
            <w:r>
              <w:rPr>
                <w:b w:val="1"/>
                <w:bCs w:val="1"/>
              </w:rPr>
              <w:t xml:space="preserve">Cavados e Ressaltos</w:t>
            </w:r>
          </w:p>
        </w:tc>
        <w:tc>
          <w:tcPr/>
          <w:p>
            <w:pPr>
              <w:jc w:val="center"/>
            </w:pPr>
            <w:r>
              <w:rPr/>
              <w:t xml:space="preserve">20/20</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GRANDES NA LATERAL</w:t>
            </w:r>
          </w:p>
        </w:tc>
      </w:tr>
      <w:tr>
        <w:trPr>
          <w:trHeight w:val="10" w:hRule="atLeast"/>
        </w:trPr>
        <w:tc>
          <w:tcPr/>
          <w:p>
            <w:pPr>
              <w:jc w:val="center"/>
            </w:pPr>
            <w:r>
              <w:rPr>
                <w:b w:val="1"/>
                <w:bCs w:val="1"/>
              </w:rPr>
              <w:t xml:space="preserve">Aderências </w:t>
            </w:r>
          </w:p>
        </w:tc>
        <w:tc>
          <w:tcPr/>
          <w:p>
            <w:pPr>
              <w:jc w:val="center"/>
            </w:pPr>
            <w:r>
              <w:rPr/>
              <w:t xml:space="preserve">TOD, SS</w:t>
            </w:r>
          </w:p>
        </w:tc>
      </w:tr>
      <w:tr>
        <w:trPr>
          <w:trHeight w:val="10" w:hRule="atLeast"/>
        </w:trPr>
        <w:tc>
          <w:tcPr/>
          <w:p>
            <w:pPr/>
            <w:r>
              <w:rPr>
                <w:sz w:val="18"/>
                <w:szCs w:val="18"/>
                <w:b w:val="1"/>
                <w:bCs w:val="1"/>
              </w:rPr>
              <w:t xml:space="preserve">Legenda:</w:t>
            </w:r>
          </w:p>
          <w:p>
            <w:pPr/>
            <w:r>
              <w:rPr>
                <w:sz w:val="16"/>
                <w:szCs w:val="16"/>
                <w:b w:val="0"/>
                <w:bCs w:val="0"/>
              </w:rPr>
              <w:t xml:space="preserve">CHOG Chumbo Ogival TOD tecido Orgânico dessecado SS natureza não identificada, de cor castanho avermelhado semelhante a sangue</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(123)</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3 -DA ARMA AF-A - BERETTA  – LACRE DE ENTRADA 78948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do Fuzil</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RUIM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Fuzil</w:t>
            </w:r>
          </w:p>
        </w:tc>
      </w:tr>
    </w:tbl>
    <w:p/>
    <w:p/>
    <w:p>
      <w:pPr>
        <w:pStyle w:val="justify"/>
      </w:pPr>
      <w:r>
        <w:rPr>
          <w:rFonts w:ascii="Arial" w:hAnsi="Arial" w:eastAsia="Arial" w:cs="Arial"/>
          <w:sz w:val="24"/>
          <w:szCs w:val="24"/>
          <w:b w:val="1"/>
          <w:bCs w:val="1"/>
        </w:rPr>
        <w:t xml:space="preserve">3. 4 -DA ARMA AF-B - BERETTA  – LACRE DE ENTRADA 78948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8 – Descrição do Fuzil</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RUIM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9 -Tomadas fotográficas- Fuzil</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789mm (Arma AF-A), nº 789mm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30.633/2022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2023-06-28T15:19:18+00:00</dcterms:created>
  <dcterms:modified xsi:type="dcterms:W3CDTF">2023-06-28T15:19:18+00:00</dcterms:modified>
</cp:coreProperties>
</file>

<file path=docProps/custom.xml><?xml version="1.0" encoding="utf-8"?>
<Properties xmlns="http://schemas.openxmlformats.org/officeDocument/2006/custom-properties" xmlns:vt="http://schemas.openxmlformats.org/officeDocument/2006/docPropsVTypes"/>
</file>