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quatro dias do mês de maio do ano de dois mil e vinte e três,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17/05/2023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12312, datado de 17/05/2023, oriundo da 123123123123.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TTTTT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17/05/2023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502" w:type="dxa"/>
          </w:tcPr>
          <w:p>
            <w:pPr>
              <w:jc w:val="center"/>
            </w:pPr>
            <w:r>
              <w:rPr/>
              <w:t xml:space="preserve">12312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123123123123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123123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CARTUCHOS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dois cartuchos provenientes de munição própria para uso em armas de fogo, integralmente descritos no quadro a seguir:</w:t>
      </w:r>
    </w:p>
    <w:p/>
    <w:tbl>
      <w:tblGrid>
        <w:gridCol w:w="600" w:type="dxa"/>
        <w:gridCol w:w="1250" w:type="dxa"/>
        <w:gridCol w:w="1187" w:type="dxa"/>
        <w:gridCol w:w="1637" w:type="dxa"/>
        <w:gridCol w:w="1550" w:type="dxa"/>
        <w:gridCol w:w="820" w:type="dxa"/>
        <w:gridCol w:w="2025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DESCRIÇÃO DOS CARTUCHOS</w:t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/>
        <w:tc>
          <w:tcPr>
            <w:tcW w:w="6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.22LR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/>
              <w:t xml:space="preserve">MEXICANA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/>
              <w:t xml:space="preserve">NIQUELADO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CHPP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>12312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CHPP  Chumbo Ponta Plana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cartuchos percutidos e não deflagrados foram retornados à Central de Custódia, devidamente embalados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preservando a integridade das marcas de percussão para futuros exames de comparação microbalística, prestando ainda como prova material de tentativa de disparo de arma de fogo.</w:t>
      </w:r>
    </w:p>
    <w:p/>
    <w:tbl>
      <w:tblGrid/>
      <w:tblPr>
        <w:tblStyle w:val="tabela2img"/>
      </w:tblPr>
      <w:tr>
        <w:trPr>
          <w:trHeight w:val="10" w:hRule="atLeast"/>
          <w:tblHeader w:val="1"/>
        </w:trPr>
      </w:tr>
      <w:tr>
        <w:trPr>
          <w:trHeight w:val="10" w:hRule="atLeast"/>
        </w:trPr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 nº 123123 (Cartucho percutido e não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rodrigo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3123/2023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2023-05-17T17:52:34+00:00</dcterms:created>
  <dcterms:modified xsi:type="dcterms:W3CDTF">2023-05-17T17:52:34+00:00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