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24/07/2022</w:t>
      </w:r>
      <w:r>
        <w:rPr>
          <w:rFonts w:ascii="Arial" w:hAnsi="Arial" w:eastAsia="Arial" w:cs="Arial"/>
          <w:sz w:val="24"/>
          <w:szCs w:val="24"/>
          <w:b w:val="0"/>
          <w:bCs w:val="0"/>
        </w:rPr>
        <w:t xml:space="preserve"> a fim de ser atendida solicitação contida no Ofício nº 6283, datado de 28/07/2022, oriundo da CENTRAL DE FLAGRANTES DA CAPITAL.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DIEGO MACHADO BUENO</w:t>
            </w:r>
          </w:p>
        </w:tc>
      </w:tr>
      <w:tr>
        <w:trPr>
          <w:trHeight w:val="50" w:hRule="atLeast"/>
        </w:trPr>
        <w:tc>
          <w:tcPr>
            <w:tcW w:w="1500" w:type="dxa"/>
          </w:tcPr>
          <w:p>
            <w:pPr>
              <w:jc w:val="center"/>
            </w:pPr>
            <w:r>
              <w:rPr>
                <w:b w:val="1"/>
                <w:bCs w:val="1"/>
              </w:rPr>
              <w:t xml:space="preserve">VÍTIMA</w:t>
            </w:r>
          </w:p>
        </w:tc>
        <w:tc>
          <w:tcPr>
            <w:tcW w:w="2000" w:type="dxa"/>
          </w:tcPr>
          <w:p>
            <w:pPr>
              <w:jc w:val="center"/>
            </w:pPr>
            <w:r>
              <w:rPr/>
              <w:t xml:space="preserve">O ESTADO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20/04/2023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146768</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CENTRAL DE FLAGRANTES DA CAPITAL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GARRUCHA</w:t>
            </w:r>
          </w:p>
        </w:tc>
        <w:tc>
          <w:tcPr/>
          <w:p>
            <w:pPr>
              <w:jc w:val="center"/>
            </w:pPr>
            <w:r>
              <w:rPr/>
              <w:t xml:space="preserve">BERETTA 123</w:t>
            </w:r>
          </w:p>
        </w:tc>
        <w:tc>
          <w:tcPr/>
          <w:p>
            <w:pPr>
              <w:jc w:val="center"/>
            </w:pPr>
            <w:r>
              <w:rPr/>
              <w:t xml:space="preserve">13231</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123 – Lacre 13231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Garrucha Lacre Nº13231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22312/2023.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74.491/2022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2023-04-20T16:34:19+00:00</dcterms:created>
  <dcterms:modified xsi:type="dcterms:W3CDTF">2023-04-20T16:34:19+00:00</dcterms:modified>
</cp:coreProperties>
</file>

<file path=docProps/custom.xml><?xml version="1.0" encoding="utf-8"?>
<Properties xmlns="http://schemas.openxmlformats.org/officeDocument/2006/custom-properties" xmlns:vt="http://schemas.openxmlformats.org/officeDocument/2006/docPropsVTypes"/>
</file>