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EFICIÊNCIA EM ARMA DE FOGO E MUNIÇÃO)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três dias do mês de abril do ano de dois mil e vinte e três, nesta cidade de Curitiba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rodrigo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materiais abaixo discriminados recebidos nesta Seção em 29/09/2022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a fim de ser atendida solicitação contida no Ofício nº 419, datado de 27/09/2022, oriundo da DELEGACIA - MULHER E ADOLESCENTE.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1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EM PODER DE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ANDRE RICARDO SLUZALA</w:t>
            </w:r>
          </w:p>
        </w:tc>
      </w:tr>
      <w:tr>
        <w:trPr>
          <w:trHeight w:val="50" w:hRule="atLeast"/>
        </w:trPr>
        <w:tc>
          <w:tcPr>
            <w:tcW w:w="1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VÍTIMA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LUIZA TATIANI GUIMARÃES PORTELA FERREIRA</w:t>
            </w:r>
          </w:p>
        </w:tc>
      </w:tr>
      <w:tr>
        <w:trPr>
          <w:trHeight w:val="50" w:hRule="atLeast"/>
        </w:trPr>
        <w:tc>
          <w:tcPr>
            <w:tcW w:w="1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VÍTIMA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O ESTADO</w:t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12/05/2023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SÃO JOSÉ DOS PINHAIS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/>
              <w:t xml:space="preserve">NDA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190424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DELEGACIA - MULHER E ADOLESCENTE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conforme ofício recebido,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>10</w:t>
            </w:r>
          </w:p>
        </w:tc>
        <w:tc>
          <w:tcPr/>
          <w:p>
            <w:pPr>
              <w:jc w:val="center"/>
            </w:pPr>
            <w:r>
              <w:rPr/>
              <w:t xml:space="preserve">NÚCLEO</w:t>
            </w:r>
          </w:p>
        </w:tc>
        <w:tc>
          <w:tcPr/>
          <w:p>
            <w:pPr>
              <w:jc w:val="center"/>
            </w:pPr>
            <w:r>
              <w:rPr/>
              <w:t xml:space="preserve">22</w:t>
            </w:r>
          </w:p>
        </w:tc>
        <w:tc>
          <w:tcPr/>
          <w:p>
            <w:pPr>
              <w:jc w:val="center"/>
            </w:pPr>
            <w:r>
              <w:rPr/>
              <w:t xml:space="preserve">555</w:t>
            </w:r>
          </w:p>
        </w:tc>
      </w:tr>
    </w:tbl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3.1 DOS PROJÉTEIS: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dez projétil provenientes de munição própria para uso em armas de fogo, integralmente descritos no quadro a seguir:</w:t>
      </w:r>
    </w:p>
    <w:p/>
    <w:tbl>
      <w:tblGrid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3 –  DESCRIÇÃO DOS PROJÉTEIS</w:t>
            </w:r>
          </w:p>
        </w:tc>
      </w:t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/>
              <w:t xml:space="preserve">NÚCLEO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Constituição e formato</w:t>
            </w:r>
          </w:p>
        </w:tc>
        <w:tc>
          <w:tcPr/>
          <w:p>
            <w:pPr>
              <w:jc w:val="center"/>
            </w:pPr>
            <w:r>
              <w:rPr/>
              <w:t xml:space="preserve">CHOG</w:t>
            </w:r>
          </w:p>
          <w:p>
            <w:pPr>
              <w:jc w:val="center"/>
            </w:pPr>
            <w:r>
              <w:rPr/>
              <w:t xml:space="preserve">RECOBERTO POR TINTA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Massa (g)</w:t>
            </w:r>
          </w:p>
        </w:tc>
        <w:tc>
          <w:tcPr/>
          <w:p>
            <w:pPr>
              <w:jc w:val="center"/>
            </w:pPr>
            <w:r>
              <w:rPr/>
              <w:t xml:space="preserve">5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real médio (mm)</w:t>
            </w:r>
          </w:p>
        </w:tc>
        <w:tc>
          <w:tcPr/>
          <w:p>
            <w:pPr>
              <w:jc w:val="center"/>
            </w:pPr>
            <w:r>
              <w:rPr/>
              <w:t xml:space="preserve">22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Altura máxima (mm)</w:t>
            </w:r>
          </w:p>
        </w:tc>
        <w:tc>
          <w:tcPr/>
          <w:p>
            <w:pPr>
              <w:jc w:val="center"/>
            </w:pPr>
            <w:r>
              <w:rPr/>
              <w:t xml:space="preserve">3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Provável calibre nominal</w:t>
            </w:r>
          </w:p>
        </w:tc>
        <w:tc>
          <w:tcPr/>
          <w:p>
            <w:pPr>
              <w:jc w:val="center"/>
            </w:pPr>
            <w:r>
              <w:rPr/>
              <w:t xml:space="preserve">22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Cavados e Ressaltos</w:t>
            </w:r>
          </w:p>
        </w:tc>
        <w:tc>
          <w:tcPr/>
          <w:p>
            <w:pPr>
              <w:jc w:val="center"/>
            </w:pPr>
            <w:r>
              <w:rPr/>
              <w:t xml:space="preserve">NÃO SE APLICA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Raiamento e Orientação</w:t>
            </w:r>
          </w:p>
        </w:tc>
        <w:tc>
          <w:tcPr/>
          <w:p>
            <w:pPr>
              <w:jc w:val="center"/>
            </w:pPr>
            <w:r>
              <w:rPr/>
              <w:t xml:space="preserve">NÃO SE APLICA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 de Raiamento</w:t>
            </w:r>
          </w:p>
        </w:tc>
        <w:tc>
          <w:tcPr/>
          <w:p>
            <w:pPr>
              <w:jc w:val="center"/>
            </w:pPr>
            <w:r>
              <w:rPr/>
              <w:t xml:space="preserve">NÃO SE APLICA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Deformações Acidentais</w:t>
            </w:r>
          </w:p>
        </w:tc>
        <w:tc>
          <w:tcPr/>
          <w:p>
            <w:pPr>
              <w:jc w:val="center"/>
            </w:pPr>
            <w:r>
              <w:rPr/>
              <w:t xml:space="preserve">GRANDES NA PONTA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Aderências </w:t>
            </w:r>
          </w:p>
        </w:tc>
        <w:tc>
          <w:tcPr/>
          <w:p>
            <w:pPr>
              <w:jc w:val="center"/>
            </w:pPr>
            <w:r>
              <w:rPr/>
              <w:t xml:space="preserve">TOD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Legenda:</w:t>
            </w:r>
          </w:p>
          <w:p>
            <w:pPr/>
            <w:r>
              <w:rPr>
                <w:sz w:val="16"/>
                <w:szCs w:val="16"/>
                <w:b w:val="0"/>
                <w:bCs w:val="0"/>
              </w:rPr>
              <w:t xml:space="preserve">CHOG Chumbo Ogival TOD tecido Orgânico dessecado</w:t>
            </w:r>
          </w:p>
        </w:tc>
      </w:tr>
    </w:tbl>
    <w:p/>
    <w:p/>
    <w:tbl>
      <w:tblGrid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4 Tomadas fotográficas Projétil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rodrigo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Curitiba – Polícia Científica do Paraná</w:t>
            </w:r>
          </w:p>
        </w:tc>
      </w:tr>
    </w:tbl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97.783/2022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2023-05-12T17:25:49+00:00</dcterms:created>
  <dcterms:modified xsi:type="dcterms:W3CDTF">2023-05-12T17:25:49+00:00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