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novembro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26/09/2023</w:t>
      </w:r>
      <w:r>
        <w:rPr>
          <w:rFonts w:ascii="Arial" w:hAnsi="Arial" w:eastAsia="Arial" w:cs="Arial"/>
          <w:sz w:val="24"/>
          <w:szCs w:val="24"/>
          <w:b w:val="0"/>
          <w:bCs w:val="0"/>
        </w:rPr>
        <w:t xml:space="preserve"> a fim de ser atendida solicitação contida no Ofício nº 365/2023/LPAL, datado de 06/09/2023,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JOSE RUTZ RIBEIRO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28/08/2023</w:t>
            </w:r>
          </w:p>
        </w:tc>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972264/2023</w:t>
            </w:r>
          </w:p>
        </w:tc>
        <w:tc>
          <w:tcPr>
            <w:tcW w:w="1000" w:type="dxa"/>
          </w:tcPr>
          <w:p>
            <w:pPr>
              <w:jc w:val="center"/>
            </w:pPr>
            <w:r>
              <w:rPr>
                <w:b w:val="1"/>
                <w:bCs w:val="1"/>
              </w:rPr>
              <w:t xml:space="preserve">Nº do IP ONLINE:</w:t>
            </w:r>
          </w:p>
        </w:tc>
        <w:tc>
          <w:tcPr>
            <w:tcW w:w="3050" w:type="dxa"/>
          </w:tcPr>
          <w:p>
            <w:pPr>
              <w:jc w:val="center"/>
            </w:pPr>
            <w:r>
              <w:rPr/>
              <w:t xml:space="preserve">229029/2023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UNIDADE DE REVÓLVER CALIBRE 022,00</w:t>
            </w:r>
          </w:p>
        </w:tc>
        <w:tc>
          <w:tcPr/>
          <w:p>
            <w:pPr>
              <w:jc w:val="center"/>
            </w:pPr>
            <w:r>
              <w:rPr/>
              <w:t xml:space="preserve">0002118</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CBC</w:t>
            </w:r>
          </w:p>
        </w:tc>
        <w:tc>
          <w:tcPr/>
          <w:p>
            <w:pPr>
              <w:jc w:val="center"/>
            </w:pPr>
            <w:r>
              <w:rPr/>
              <w:t xml:space="preserve">0002119</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.22 LR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ROSSI  – LACRE DE ENTRADA 0002118</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ROSSI</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110510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833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18 cm ALTURA 9,5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133.149/2024.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0000062084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107.440/2023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2024-11-08T10:17:44+00:00</dcterms:created>
  <dcterms:modified xsi:type="dcterms:W3CDTF">2024-11-08T10:17:44+00:00</dcterms:modified>
</cp:coreProperties>
</file>

<file path=docProps/custom.xml><?xml version="1.0" encoding="utf-8"?>
<Properties xmlns="http://schemas.openxmlformats.org/officeDocument/2006/custom-properties" xmlns:vt="http://schemas.openxmlformats.org/officeDocument/2006/docPropsVTypes"/>
</file>