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dias do mês de fevereiro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20/02/2025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, datado de 20/02/2025, oriundo da 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2" w:type="dxa"/>
        <w:gridCol w:w="600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/>
              <w:t xml:space="preserve">MATEUS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GUARAPUAVA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45645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14ª SUBDIVISÃO POLICIAL GUARAPUAVA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10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R-P (REMINGTON - PETERS)</w:t>
            </w:r>
          </w:p>
        </w:tc>
        <w:tc>
          <w:tcPr/>
          <w:p>
            <w:pPr>
              <w:jc w:val="center"/>
            </w:pPr>
            <w:r>
              <w:rPr/>
              <w:t xml:space="preserve">666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dez cartuchos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próprios para uso em armas de fogo, integralmente descritos no quadro a seguir:</w:t>
      </w:r>
      <w:br/>
    </w:p>
    <w:tbl>
      <w:tblGrid>
        <w:gridCol w:w="450" w:type="dxa"/>
        <w:gridCol w:w="400" w:type="dxa"/>
        <w:gridCol w:w="1100" w:type="dxa"/>
        <w:gridCol w:w="1187" w:type="dxa"/>
        <w:gridCol w:w="1550" w:type="dxa"/>
        <w:gridCol w:w="1200" w:type="dxa"/>
        <w:gridCol w:w="1400" w:type="dxa"/>
        <w:gridCol w:w="82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DESCRIÇÃO DOS CARTUCHOS PERCUTIDO E NÃO DEFLAGRADOS</w:t>
            </w:r>
          </w:p>
        </w:tc>
      </w:tr>
      <w:tr>
        <w:trPr>
          <w:trHeight w:val="10" w:hRule="atLeast"/>
        </w:trPr>
        <w:tc>
          <w:tcPr>
            <w:tcW w:w="4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(Lote)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4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/>
              <w:t xml:space="preserve">.45ACP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R-P (REMINGTON - PETERS)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/>
              <w:t xml:space="preserve">NORTE AMERICANA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/>
              <w:t xml:space="preserve">NIQUELADA</w:t>
            </w:r>
          </w:p>
        </w:tc>
        <w:tc>
          <w:tcPr>
            <w:tcW w:w="140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>(10)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SAT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SAT  Ponta de Aço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deflagados não tiveram sua eficiência testada,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sendo preservados para eventual exame complementar e servindo também como da intenção de tiro.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/>
    <w:p/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5 Tomada(s) fotográfica(s) Cartucho(s) Lacre 666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Base-Cartucho(s) calibre .45ACP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Lateral-Cartucho(s) calibre .45ACP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666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6. ENCERRAMENTO: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2025-02-25T16:46:59+00:00</dcterms:created>
  <dcterms:modified xsi:type="dcterms:W3CDTF">2025-02-25T16:46:59+00:00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