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20/02/2025</w:t>
      </w:r>
      <w:r>
        <w:rPr>
          <w:rFonts w:ascii="Arial" w:hAnsi="Arial" w:eastAsia="Arial" w:cs="Arial"/>
          <w:sz w:val="24"/>
          <w:szCs w:val="24"/>
          <w:b w:val="0"/>
          <w:bCs w:val="0"/>
        </w:rPr>
        <w:t xml:space="preserve"> a fim de ser atendida solicitação contida no Ofício nº , datado de 20/02/2025,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78987</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15</w:t>
            </w:r>
          </w:p>
        </w:tc>
        <w:tc>
          <w:tcPr/>
          <w:p>
            <w:pPr>
              <w:jc w:val="center"/>
            </w:pPr>
            <w:r>
              <w:rPr/>
              <w:t xml:space="preserve">CARTUCHO</w:t>
            </w:r>
          </w:p>
        </w:tc>
        <w:tc>
          <w:tcPr/>
          <w:p>
            <w:pPr>
              <w:jc w:val="center"/>
            </w:pPr>
            <w:r>
              <w:rPr/>
              <w:t xml:space="preserve">AGUILA</w:t>
            </w:r>
          </w:p>
        </w:tc>
        <w:tc>
          <w:tcPr/>
          <w:p>
            <w:pPr>
              <w:jc w:val="center"/>
            </w:pPr>
            <w:r>
              <w:rPr/>
              <w:t xml:space="preserve">1020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w:t>
            </w:r>
          </w:p>
        </w:tc>
        <w:tc>
          <w:tcPr/>
          <w:p>
            <w:pPr>
              <w:jc w:val="center"/>
            </w:pPr>
            <w:r>
              <w:rPr/>
              <w:t xml:space="preserve">CARTUCHO</w:t>
            </w:r>
          </w:p>
        </w:tc>
        <w:tc>
          <w:tcPr/>
          <w:p>
            <w:pPr>
              <w:jc w:val="center"/>
            </w:pPr>
            <w:r>
              <w:rPr/>
              <w:t xml:space="preserve">BLAZER</w:t>
            </w:r>
          </w:p>
        </w:tc>
        <w:tc>
          <w:tcPr/>
          <w:p>
            <w:pPr>
              <w:jc w:val="center"/>
            </w:pPr>
            <w:r>
              <w:rPr/>
              <w:t xml:space="preserve">1020</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25</w:t>
            </w:r>
          </w:p>
        </w:tc>
        <w:tc>
          <w:tcPr/>
          <w:p>
            <w:pPr>
              <w:jc w:val="center"/>
            </w:pPr>
            <w:r>
              <w:rPr/>
              <w:t xml:space="preserve">CARTUCHO</w:t>
            </w:r>
          </w:p>
        </w:tc>
        <w:tc>
          <w:tcPr/>
          <w:p>
            <w:pPr>
              <w:jc w:val="center"/>
            </w:pPr>
            <w:r>
              <w:rPr/>
              <w:t xml:space="preserve">R-P (REMINGTON - PETERS)</w:t>
            </w:r>
          </w:p>
        </w:tc>
        <w:tc>
          <w:tcPr/>
          <w:p>
            <w:pPr>
              <w:jc w:val="center"/>
            </w:pPr>
            <w:r>
              <w:rPr/>
              <w:t xml:space="preserve">1020</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25</w:t>
            </w:r>
          </w:p>
        </w:tc>
        <w:tc>
          <w:tcPr/>
          <w:p>
            <w:pPr>
              <w:jc w:val="center"/>
            </w:pPr>
            <w:r>
              <w:rPr/>
              <w:t xml:space="preserve">CARTUCHO</w:t>
            </w:r>
          </w:p>
        </w:tc>
        <w:tc>
          <w:tcPr/>
          <w:p>
            <w:pPr>
              <w:jc w:val="center"/>
            </w:pPr>
            <w:r>
              <w:rPr/>
              <w:t xml:space="preserve">PMC - PRECISION MADE CARTRIDGES</w:t>
            </w:r>
          </w:p>
        </w:tc>
        <w:tc>
          <w:tcPr/>
          <w:p>
            <w:pPr>
              <w:jc w:val="center"/>
            </w:pPr>
            <w:r>
              <w:rPr/>
              <w:t xml:space="preserve">1020</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quarenta e um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15</w:t>
            </w:r>
          </w:p>
        </w:tc>
        <w:tc>
          <w:tcPr>
            <w:tcW w:w="1100" w:type="dxa"/>
          </w:tcPr>
          <w:p>
            <w:pPr>
              <w:jc w:val="center"/>
            </w:pPr>
            <w:r>
              <w:rPr/>
              <w:t xml:space="preserve">.38 Curto</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ETPT</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400" w:type="dxa"/>
          </w:tcPr>
          <w:p>
            <w:pPr>
              <w:jc w:val="center"/>
            </w:pPr>
            <w:r>
              <w:rPr/>
              <w:t xml:space="preserve">1</w:t>
            </w:r>
          </w:p>
        </w:tc>
        <w:tc>
          <w:tcPr>
            <w:tcW w:w="1100" w:type="dxa"/>
          </w:tcPr>
          <w:p>
            <w:pPr>
              <w:jc w:val="center"/>
            </w:pPr>
            <w:r>
              <w:rPr/>
              <w:t xml:space="preserve">.38 Curto</w:t>
            </w:r>
          </w:p>
        </w:tc>
        <w:tc>
          <w:tcPr>
            <w:tcW w:w="1187" w:type="dxa"/>
          </w:tcPr>
          <w:p>
            <w:pPr>
              <w:jc w:val="center"/>
            </w:pPr>
            <w:r>
              <w:rPr/>
              <w:t xml:space="preserve">BLAZER</w:t>
            </w:r>
          </w:p>
        </w:tc>
        <w:tc>
          <w:tcPr>
            <w:tcW w:w="1600" w:type="dxa"/>
          </w:tcPr>
          <w:p>
            <w:pPr>
              <w:jc w:val="center"/>
            </w:pPr>
            <w:r>
              <w:rPr/>
              <w:t xml:space="preserve">NORTE AMERICANA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ETPT</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3</w:t>
            </w:r>
          </w:p>
        </w:tc>
        <w:tc>
          <w:tcPr>
            <w:tcW w:w="400" w:type="dxa"/>
          </w:tcPr>
          <w:p>
            <w:pPr>
              <w:jc w:val="center"/>
            </w:pPr>
            <w:r>
              <w:rPr/>
              <w:t xml:space="preserve">25</w:t>
            </w:r>
          </w:p>
        </w:tc>
        <w:tc>
          <w:tcPr>
            <w:tcW w:w="1100" w:type="dxa"/>
          </w:tcPr>
          <w:p>
            <w:pPr>
              <w:jc w:val="center"/>
            </w:pPr>
            <w:r>
              <w:rPr/>
              <w:t xml:space="preserve">.38 Curto</w:t>
            </w:r>
          </w:p>
        </w:tc>
        <w:tc>
          <w:tcPr>
            <w:tcW w:w="1187" w:type="dxa"/>
          </w:tcPr>
          <w:p>
            <w:pPr>
              <w:jc w:val="center"/>
            </w:pPr>
            <w:r>
              <w:rPr/>
              <w:t xml:space="preserve">R-P (REMINGTON - PETERS)</w:t>
            </w:r>
          </w:p>
        </w:tc>
        <w:tc>
          <w:tcPr>
            <w:tcW w:w="1600" w:type="dxa"/>
          </w:tcPr>
          <w:p>
            <w:pPr>
              <w:jc w:val="center"/>
            </w:pPr>
            <w:r>
              <w:rPr/>
              <w:t xml:space="preserve">NORTE AMERICANA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ETPT</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ETPT  Encamisado Total Pontiagudo Boat Tail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vinte e cinco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4</w:t>
            </w:r>
          </w:p>
        </w:tc>
        <w:tc>
          <w:tcPr>
            <w:tcW w:w="400" w:type="dxa"/>
          </w:tcPr>
          <w:p>
            <w:pPr>
              <w:jc w:val="center"/>
            </w:pPr>
            <w:r>
              <w:rPr/>
              <w:t xml:space="preserve">25</w:t>
            </w:r>
          </w:p>
        </w:tc>
        <w:tc>
          <w:tcPr>
            <w:tcW w:w="1100" w:type="dxa"/>
          </w:tcPr>
          <w:p>
            <w:pPr>
              <w:jc w:val="center"/>
            </w:pPr>
            <w:r>
              <w:rPr/>
              <w:t xml:space="preserve">.38 Curto</w:t>
            </w:r>
          </w:p>
        </w:tc>
        <w:tc>
          <w:tcPr>
            <w:tcW w:w="1187" w:type="dxa"/>
          </w:tcPr>
          <w:p>
            <w:pPr>
              <w:jc w:val="center"/>
            </w:pPr>
            <w:r>
              <w:rPr/>
              <w:t xml:space="preserve">PMC - PRECISION MADE CARTRIDGES</w:t>
            </w:r>
          </w:p>
        </w:tc>
        <w:tc>
          <w:tcPr>
            <w:tcW w:w="1600" w:type="dxa"/>
          </w:tcPr>
          <w:p>
            <w:pPr>
              <w:jc w:val="center"/>
            </w:pPr>
            <w:r>
              <w:rPr/>
              <w:t xml:space="preserve">COREANA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EPP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EPP Encamisado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ineficiente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2025-02-24T15:54:41+00:00</dcterms:created>
  <dcterms:modified xsi:type="dcterms:W3CDTF">2025-02-24T15:54:41+00:00</dcterms:modified>
</cp:coreProperties>
</file>

<file path=docProps/custom.xml><?xml version="1.0" encoding="utf-8"?>
<Properties xmlns="http://schemas.openxmlformats.org/officeDocument/2006/custom-properties" xmlns:vt="http://schemas.openxmlformats.org/officeDocument/2006/docPropsVTypes"/>
</file>