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três dias do mês de janeiro do ano de dois mil e vinte e cinco, nesta cidade de Telêmaco Borba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Cesar Augusto Januario</w:t>
      </w:r>
      <w:r>
        <w:rPr>
          <w:rFonts w:ascii="Arial" w:hAnsi="Arial" w:eastAsia="Arial" w:cs="Arial"/>
          <w:sz w:val="24"/>
          <w:szCs w:val="24"/>
          <w:b w:val="0"/>
          <w:bCs w:val="0"/>
        </w:rPr>
        <w:t xml:space="preserve">, para proceder ao exame dos materiais abaixo discriminados recebidos nesta Seção em 10/12/2024</w:t>
      </w:r>
      <w:r>
        <w:rPr>
          <w:rFonts w:ascii="Arial" w:hAnsi="Arial" w:eastAsia="Arial" w:cs="Arial"/>
          <w:sz w:val="24"/>
          <w:szCs w:val="24"/>
          <w:b w:val="0"/>
          <w:bCs w:val="0"/>
        </w:rPr>
        <w:t xml:space="preserve"> a fim de ser atendida solicitação contida no Ofício nº 1328/2024/MESS, datado de 09/12/2024, oriundo da 18º - SDP- DELEGACIA.</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0" w:type="dxa"/>
        <w:gridCol w:w="2000" w:type="dxa"/>
        <w:gridCol w:w="1000" w:type="dxa"/>
        <w:gridCol w:w="305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2" w:type="dxa"/>
          </w:tcPr>
          <w:p>
            <w:pPr>
              <w:jc w:val="center"/>
            </w:pPr>
            <w:r>
              <w:rPr>
                <w:b w:val="1"/>
                <w:bCs w:val="1"/>
              </w:rPr>
              <w:t xml:space="preserve">Envolvido</w:t>
            </w:r>
          </w:p>
        </w:tc>
        <w:tc>
          <w:tcPr>
            <w:tcW w:w="3000" w:type="dxa"/>
          </w:tcPr>
          <w:p>
            <w:pPr>
              <w:jc w:val="center"/>
            </w:pPr>
            <w:r>
              <w:rPr/>
              <w:t xml:space="preserve">JOÃO SEMBARSKI FILHO</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02/12/2024</w:t>
            </w:r>
          </w:p>
        </w:tc>
        <w:tc>
          <w:tcPr>
            <w:tcW w:w="1000" w:type="dxa"/>
          </w:tcPr>
          <w:p>
            <w:pPr>
              <w:jc w:val="center"/>
            </w:pPr>
            <w:r>
              <w:rPr>
                <w:b w:val="1"/>
                <w:bCs w:val="1"/>
              </w:rPr>
              <w:t xml:space="preserve">Local:</w:t>
            </w:r>
          </w:p>
        </w:tc>
        <w:tc>
          <w:tcPr>
            <w:tcW w:w="3050" w:type="dxa"/>
          </w:tcPr>
          <w:p>
            <w:pPr>
              <w:jc w:val="center"/>
            </w:pPr>
            <w:r>
              <w:rPr/>
              <w:t xml:space="preserve">ORTIGUEIRA</w:t>
            </w:r>
          </w:p>
        </w:tc>
      </w:tr>
      <w:tr>
        <w:trPr>
          <w:trHeight w:val="50" w:hRule="atLeast"/>
        </w:trPr>
        <w:tc>
          <w:tcPr>
            <w:tcW w:w="2000" w:type="dxa"/>
          </w:tcPr>
          <w:p>
            <w:pPr>
              <w:jc w:val="center"/>
            </w:pPr>
            <w:r>
              <w:rPr>
                <w:b w:val="1"/>
                <w:bCs w:val="1"/>
              </w:rPr>
              <w:t xml:space="preserve">Boletim de Ocorrência:</w:t>
            </w:r>
          </w:p>
        </w:tc>
        <w:tc>
          <w:tcPr>
            <w:tcW w:w="2500" w:type="dxa"/>
          </w:tcPr>
          <w:p>
            <w:pPr>
              <w:jc w:val="center"/>
            </w:pPr>
            <w:r>
              <w:rPr/>
              <w:t xml:space="preserve">1503309/2024</w:t>
            </w:r>
          </w:p>
        </w:tc>
        <w:tc>
          <w:tcPr>
            <w:tcW w:w="1000" w:type="dxa"/>
          </w:tcPr>
          <w:p>
            <w:pPr>
              <w:jc w:val="center"/>
            </w:pPr>
            <w:r>
              <w:rPr>
                <w:b w:val="1"/>
                <w:bCs w:val="1"/>
              </w:rPr>
              <w:t xml:space="preserve">Nº do IP ONLINE:</w:t>
            </w:r>
          </w:p>
        </w:tc>
        <w:tc>
          <w:tcPr>
            <w:tcW w:w="3050" w:type="dxa"/>
          </w:tcPr>
          <w:p>
            <w:pPr>
              <w:jc w:val="center"/>
            </w:pPr>
            <w:r>
              <w:rPr/>
              <w:t xml:space="preserve">338772/2024</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18º - SDP- DELEGACIA</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Item</w:t>
            </w:r>
          </w:p>
        </w:tc>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1</w:t>
            </w:r>
          </w:p>
        </w:tc>
        <w:tc>
          <w:tcPr/>
          <w:p>
            <w:pPr>
              <w:jc w:val="center"/>
            </w:pPr>
            <w:r>
              <w:rPr/>
              <w:t xml:space="preserve">ARMA</w:t>
            </w:r>
          </w:p>
        </w:tc>
        <w:tc>
          <w:tcPr/>
          <w:p>
            <w:pPr>
              <w:jc w:val="center"/>
            </w:pPr>
            <w:r>
              <w:rPr/>
              <w:t xml:space="preserve">1</w:t>
            </w:r>
          </w:p>
        </w:tc>
        <w:tc>
          <w:tcPr/>
          <w:p>
            <w:pPr>
              <w:jc w:val="center"/>
            </w:pPr>
            <w:r>
              <w:rPr/>
              <w:t xml:space="preserve">GARRUCHA</w:t>
            </w:r>
          </w:p>
        </w:tc>
        <w:tc>
          <w:tcPr/>
          <w:p>
            <w:pPr>
              <w:jc w:val="center"/>
            </w:pPr>
            <w:r>
              <w:rPr/>
              <w:t xml:space="preserve">01(UMA) UNIDADE DE GARRUCHA(ARMA DE FOGO DE USO PERMITIDO CALIBRE: 022,00 MARCA: ROSSI)</w:t>
            </w:r>
          </w:p>
        </w:tc>
        <w:tc>
          <w:tcPr/>
          <w:p>
            <w:pPr>
              <w:jc w:val="center"/>
            </w:pPr>
            <w:r>
              <w:rPr/>
              <w:t xml:space="preserve">00106647</w:t>
            </w:r>
          </w:p>
        </w:tc>
      </w:tr>
      <w:tr>
        <w:trPr>
          <w:trHeight w:val="10" w:hRule="atLeast"/>
          <w:tblHeader w:val="1"/>
        </w:trPr>
        <w:tc>
          <w:tcPr/>
          <w:p>
            <w:pPr>
              <w:jc w:val="center"/>
            </w:pPr>
            <w:r>
              <w:rPr/>
              <w:t xml:space="preserve">2</w:t>
            </w:r>
          </w:p>
        </w:tc>
        <w:tc>
          <w:tcPr/>
          <w:p>
            <w:pPr>
              <w:jc w:val="center"/>
            </w:pPr>
            <w:r>
              <w:rPr/>
              <w:t xml:space="preserve">MUNIÇÃO</w:t>
            </w:r>
          </w:p>
        </w:tc>
        <w:tc>
          <w:tcPr/>
          <w:p>
            <w:pPr>
              <w:jc w:val="center"/>
            </w:pPr>
            <w:r>
              <w:rPr/>
              <w:t xml:space="preserve">1</w:t>
            </w:r>
          </w:p>
        </w:tc>
        <w:tc>
          <w:tcPr/>
          <w:p>
            <w:pPr>
              <w:jc w:val="center"/>
            </w:pPr>
            <w:r>
              <w:rPr/>
              <w:t xml:space="preserve">ESTOJO</w:t>
            </w:r>
          </w:p>
        </w:tc>
        <w:tc>
          <w:tcPr/>
          <w:p>
            <w:pPr>
              <w:jc w:val="center"/>
            </w:pPr>
            <w:r>
              <w:rPr/>
              <w:t xml:space="preserve">CBC</w:t>
            </w:r>
          </w:p>
        </w:tc>
        <w:tc>
          <w:tcPr/>
          <w:p>
            <w:pPr>
              <w:jc w:val="center"/>
            </w:pPr>
            <w:r>
              <w:rPr/>
              <w:t xml:space="preserve">0028814</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 1</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8" o:title=""/>
                </v:shape>
              </w:pict>
            </w:r>
          </w:p>
          <w:p>
            <w:pPr>
              <w:jc w:val="center"/>
            </w:pPr>
            <w:r>
              <w:rPr>
                <w:b w:val="1"/>
                <w:bCs w:val="1"/>
              </w:rPr>
              <w:t xml:space="preserve">Verso</w:t>
            </w:r>
          </w:p>
        </w:tc>
      </w:tr>
    </w:tbl>
    <w:p/>
    <w:p>
      <w:pPr>
        <w:pStyle w:val="justify"/>
      </w:pPr>
      <w:r>
        <w:rPr>
          <w:rFonts w:ascii="Arial" w:hAnsi="Arial" w:eastAsia="Arial" w:cs="Arial"/>
          <w:sz w:val="24"/>
          <w:szCs w:val="24"/>
          <w:b w:val="1"/>
          <w:bCs w:val="1"/>
        </w:rPr>
        <w:t xml:space="preserve">3. DO EXAME</w:t>
      </w:r>
    </w:p>
    <w:p/>
    <w:p>
      <w:pPr>
        <w:pStyle w:val="justify"/>
      </w:pPr>
      <w:r>
        <w:rPr>
          <w:rFonts w:ascii="Arial" w:hAnsi="Arial" w:eastAsia="Arial" w:cs="Arial"/>
          <w:sz w:val="24"/>
          <w:szCs w:val="24"/>
          <w:b w:val="1"/>
          <w:bCs w:val="1"/>
        </w:rPr>
        <w:t xml:space="preserve">3. 1. 1 -DA ARMA AF-A - ROSSI SEM MODELO APARENTE – LACRE DE ENTRADA 00106647</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4 – Descrição da Garrucha</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ROSSI</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Modelo:</w:t>
            </w:r>
          </w:p>
        </w:tc>
        <w:tc>
          <w:tcPr>
            <w:tcW w:w="5050" w:type="dxa"/>
          </w:tcPr>
          <w:p>
            <w:pPr>
              <w:jc w:val="center"/>
            </w:pPr>
            <w:r>
              <w:rPr/>
              <w:t xml:space="preserve">SEM MODELO APARENTE</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.22 LR</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BRASILEIRA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Nº de série:</w:t>
            </w:r>
          </w:p>
        </w:tc>
        <w:tc>
          <w:tcPr>
            <w:tcW w:w="5050" w:type="dxa"/>
          </w:tcPr>
          <w:p>
            <w:pPr>
              <w:jc w:val="center"/>
            </w:pPr>
            <w:r>
              <w:rPr/>
              <w:t xml:space="preserve">C1*856</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12,6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SEIS</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INDIRETA COM CÃO EXPOSTO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AÇÃO SIMPLES</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MADEIRA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OXIDADO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22,2 cm ALTURA 9,5 cm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REGULAR</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Perito(a) submeteu-a ao teste de tiro, usando as munições de correspondente calibre fornecida por este Instituto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w:t>
      </w:r>
      <w:r>
        <w:rPr>
          <w:rFonts w:ascii="Arial" w:hAnsi="Arial" w:eastAsia="Arial" w:cs="Arial"/>
          <w:sz w:val="24"/>
          <w:szCs w:val="24"/>
          <w:b w:val="1"/>
          <w:bCs w:val="1"/>
          <w:u w:val="single"/>
        </w:rPr>
        <w:t xml:space="preserve"> arma eficiente para a realização de tiros.</w:t>
      </w:r>
    </w:p>
    <w:p/>
    <w:p>
      <w:pPr/>
      <w:r>
        <w:rPr>
          <w:rFonts w:ascii="Arial" w:hAnsi="Arial" w:eastAsia="Arial" w:cs="Arial"/>
          <w:sz w:val="24"/>
          <w:szCs w:val="24"/>
          <w:b w:val="1"/>
          <w:bCs w:val="1"/>
        </w:rPr>
        <w:t xml:space="preserve">c) Coleta de Padrões Balísticos:</w:t>
      </w:r>
    </w:p>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conforme descrito no Relatório de Coleta de Padrão nº 640/2025.</w:t>
      </w:r>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5 -Tomadas fotográficas- Garrucha</w:t>
            </w:r>
          </w:p>
        </w:tc>
      </w:tr>
      <w:tr>
        <w:trPr>
          <w:trHeight w:val="10" w:hRule="atLeast"/>
          <w:cantSplit w:val="1"/>
        </w:trPr>
        <w:tc>
          <w:tcPr/>
          <w:p>
            <w:pPr>
              <w:jc w:val="center"/>
            </w:pPr>
            <w:r>
              <w:pict>
                <v:shape type="#_x0000_t75" style="width:450pt; height:250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Vista lateral direita</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0" o:title=""/>
                </v:shape>
              </w:pict>
            </w:r>
          </w:p>
          <w:p>
            <w:pPr>
              <w:jc w:val="center"/>
            </w:pPr>
            <w:r>
              <w:rPr>
                <w:b w:val="1"/>
                <w:bCs w:val="1"/>
              </w:rPr>
              <w:t xml:space="preserve">Vista lateral esquerda</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1" o:title=""/>
                </v:shape>
              </w:pict>
            </w:r>
          </w:p>
          <w:p>
            <w:pPr>
              <w:jc w:val="center"/>
            </w:pPr>
            <w:r>
              <w:rPr>
                <w:b w:val="1"/>
                <w:bCs w:val="1"/>
              </w:rPr>
              <w:t xml:space="preserve">Número de série</w:t>
            </w:r>
          </w:p>
        </w:tc>
      </w:tr>
    </w:tbl>
    <w:p/>
    <w:p>
      <w:pPr>
        <w:pStyle w:val="justify"/>
      </w:pPr>
      <w:r>
        <w:rPr>
          <w:rFonts w:ascii="Arial" w:hAnsi="Arial" w:eastAsia="Arial" w:cs="Arial"/>
          <w:sz w:val="24"/>
          <w:szCs w:val="24"/>
          <w:b w:val="1"/>
          <w:bCs w:val="1"/>
        </w:rPr>
        <w:t xml:space="preserve">3.2 DOS ESTOJOS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um estojos </w:t>
      </w:r>
      <w:r>
        <w:rPr>
          <w:rFonts w:ascii="Arial" w:hAnsi="Arial" w:eastAsia="Arial" w:cs="Arial"/>
          <w:sz w:val="24"/>
          <w:szCs w:val="24"/>
          <w:b w:val="0"/>
          <w:bCs w:val="0"/>
        </w:rPr>
        <w:t xml:space="preserve">provenientes de cartuchos próprios para uso em armas de fogo, percutido e deflagrado, integralmente descritos no quadro a seguir:</w:t>
      </w:r>
    </w:p>
    <w:p/>
    <w:tbl>
      <w:tblGrid>
        <w:gridCol w:w="1900" w:type="dxa"/>
        <w:gridCol w:w="500" w:type="dxa"/>
        <w:gridCol w:w="1400" w:type="dxa"/>
        <w:gridCol w:w="1000" w:type="dxa"/>
        <w:gridCol w:w="1400" w:type="dxa"/>
        <w:gridCol w:w="1500" w:type="dxa"/>
        <w:gridCol w:w="1400" w:type="dxa"/>
      </w:tblGrid>
      <w:tblPr>
        <w:tblStyle w:val="tabela"/>
      </w:tblPr>
      <w:tr>
        <w:trPr>
          <w:trHeight w:val="10" w:hRule="atLeast"/>
          <w:tblHeader w:val="1"/>
        </w:trPr>
        <w:tc>
          <w:tcPr>
            <w:shd w:val="clear" w:fill="D3D3D3"/>
          </w:tcPr>
          <w:p>
            <w:pPr>
              <w:jc w:val="center"/>
            </w:pPr>
            <w:r>
              <w:rPr>
                <w:b w:val="1"/>
                <w:bCs w:val="1"/>
              </w:rPr>
              <w:t xml:space="preserve"> TABELA 6 – DESCRIÇÃO DOS ESTOJOS</w:t>
            </w:r>
          </w:p>
        </w:tc>
      </w:tr>
      <w:tr>
        <w:trPr/>
        <w:tc>
          <w:tcPr>
            <w:tcW w:w="1900" w:type="dxa"/>
          </w:tcPr>
          <w:p>
            <w:pPr>
              <w:jc w:val="center"/>
            </w:pPr>
            <w:r>
              <w:rPr>
                <w:b w:val="1"/>
                <w:bCs w:val="1"/>
              </w:rPr>
              <w:t xml:space="preserve">Identificação</w:t>
            </w:r>
          </w:p>
        </w:tc>
        <w:tc>
          <w:tcPr>
            <w:tcW w:w="500" w:type="dxa"/>
          </w:tcPr>
          <w:p>
            <w:pPr>
              <w:jc w:val="center"/>
            </w:pPr>
            <w:r>
              <w:rPr>
                <w:b w:val="1"/>
                <w:bCs w:val="1"/>
              </w:rPr>
              <w:t xml:space="preserve">Qtd</w:t>
            </w:r>
          </w:p>
        </w:tc>
        <w:tc>
          <w:tcPr>
            <w:tcW w:w="1400" w:type="dxa"/>
          </w:tcPr>
          <w:p>
            <w:pPr>
              <w:jc w:val="center"/>
            </w:pPr>
            <w:r>
              <w:rPr>
                <w:b w:val="1"/>
                <w:bCs w:val="1"/>
              </w:rPr>
              <w:t xml:space="preserve">Calibre Nominal</w:t>
            </w:r>
          </w:p>
        </w:tc>
        <w:tc>
          <w:tcPr>
            <w:tcW w:w="1000" w:type="dxa"/>
          </w:tcPr>
          <w:p>
            <w:pPr>
              <w:jc w:val="center"/>
            </w:pPr>
            <w:r>
              <w:rPr>
                <w:b w:val="1"/>
                <w:bCs w:val="1"/>
              </w:rPr>
              <w:t xml:space="preserve">Marca</w:t>
            </w:r>
          </w:p>
        </w:tc>
        <w:tc>
          <w:tcPr>
            <w:tcW w:w="1400" w:type="dxa"/>
          </w:tcPr>
          <w:p>
            <w:pPr>
              <w:jc w:val="center"/>
            </w:pPr>
            <w:r>
              <w:rPr>
                <w:b w:val="1"/>
                <w:bCs w:val="1"/>
              </w:rPr>
              <w:t xml:space="preserve">Procedência</w:t>
            </w:r>
          </w:p>
        </w:tc>
        <w:tc>
          <w:tcPr>
            <w:tcW w:w="1500" w:type="dxa"/>
          </w:tcPr>
          <w:p>
            <w:pPr>
              <w:jc w:val="center"/>
            </w:pPr>
            <w:r>
              <w:rPr>
                <w:b w:val="1"/>
                <w:bCs w:val="1"/>
              </w:rPr>
              <w:t xml:space="preserve">Estojo (Lote)</w:t>
            </w:r>
          </w:p>
        </w:tc>
        <w:tc>
          <w:tcPr>
            <w:tcW w:w="1400" w:type="dxa"/>
          </w:tcPr>
          <w:p>
            <w:pPr>
              <w:jc w:val="center"/>
            </w:pPr>
            <w:r>
              <w:rPr>
                <w:b w:val="1"/>
                <w:bCs w:val="1"/>
              </w:rPr>
              <w:t xml:space="preserve">Calibre Nominal</w:t>
            </w:r>
          </w:p>
        </w:tc>
      </w:tr>
      <w:tr>
        <w:trPr>
          <w:trHeight w:val="10" w:hRule="atLeast"/>
          <w:tblHeader w:val="1"/>
        </w:trPr>
        <w:tc>
          <w:tcPr/>
          <w:p>
            <w:pPr>
              <w:jc w:val="center"/>
            </w:pPr>
            <w:r>
              <w:rPr/>
              <w:t xml:space="preserve">EQ 1 a EQ 1</w:t>
            </w:r>
          </w:p>
        </w:tc>
        <w:tc>
          <w:tcPr>
            <w:tcW w:w="600" w:type="dxa"/>
          </w:tcPr>
          <w:p>
            <w:pPr>
              <w:jc w:val="center"/>
            </w:pPr>
            <w:r>
              <w:rPr/>
              <w:t xml:space="preserve">1</w:t>
            </w:r>
          </w:p>
        </w:tc>
        <w:tc>
          <w:tcPr/>
          <w:p>
            <w:pPr>
              <w:jc w:val="center"/>
            </w:pPr>
            <w:r>
              <w:rPr/>
              <w:t xml:space="preserve">.22 LR</w:t>
            </w:r>
          </w:p>
        </w:tc>
        <w:tc>
          <w:tcPr>
            <w:tcW w:w="800" w:type="dxa"/>
          </w:tcPr>
          <w:p>
            <w:pPr>
              <w:jc w:val="center"/>
            </w:pPr>
            <w:r>
              <w:rPr/>
              <w:t xml:space="preserve">CBC</w:t>
            </w:r>
          </w:p>
        </w:tc>
        <w:tc>
          <w:tcPr/>
          <w:p>
            <w:pPr>
              <w:jc w:val="center"/>
            </w:pPr>
            <w:r>
              <w:rPr/>
              <w:t xml:space="preserve">BRASILEIRA</w:t>
            </w:r>
          </w:p>
        </w:tc>
        <w:tc>
          <w:tcPr/>
          <w:p>
            <w:pPr>
              <w:jc w:val="center"/>
            </w:pPr>
            <w:r>
              <w:rPr/>
              <w:t xml:space="preserve">LATONADO </w:t>
            </w:r>
          </w:p>
        </w:tc>
        <w:tc>
          <w:tcPr/>
          <w:p>
            <w:pPr>
              <w:jc w:val="center"/>
            </w:pPr>
            <w:r>
              <w:rPr/>
              <w:t xml:space="preserve">.22 LR</w:t>
            </w:r>
          </w:p>
        </w:tc>
      </w:tr>
    </w:tbl>
    <w:p/>
    <w:p>
      <w:pPr>
        <w:pStyle w:val="justify"/>
      </w:pPr>
      <w:r>
        <w:rPr>
          <w:rFonts w:ascii="Arial" w:hAnsi="Arial" w:eastAsia="Arial" w:cs="Arial"/>
          <w:sz w:val="24"/>
          <w:szCs w:val="24"/>
          <w:b w:val="0"/>
          <w:bCs w:val="0"/>
        </w:rPr>
        <w:t xml:space="preserve">Os </w:t>
      </w:r>
      <w:r>
        <w:rPr>
          <w:rFonts w:ascii="Arial" w:hAnsi="Arial" w:eastAsia="Arial" w:cs="Arial"/>
          <w:sz w:val="24"/>
          <w:szCs w:val="24"/>
          <w:b w:val="1"/>
          <w:bCs w:val="1"/>
          <w:u w:val="single"/>
        </w:rPr>
        <w:t xml:space="preserve">estojos percutido e deflagrado</w:t>
      </w:r>
      <w:r>
        <w:rPr>
          <w:rFonts w:ascii="Arial" w:hAnsi="Arial" w:eastAsia="Arial" w:cs="Arial"/>
          <w:sz w:val="24"/>
          <w:szCs w:val="24"/>
          <w:b w:val="0"/>
          <w:bCs w:val="0"/>
        </w:rPr>
        <w:t xml:space="preserve"> foram retornados à Central de Custódia, devidamente embalados, garantindo a integridade das marcas de percussão para futuros exames de comparação microbalística, prestando ainda como </w:t>
      </w:r>
      <w:r>
        <w:rPr>
          <w:rFonts w:ascii="Arial" w:hAnsi="Arial" w:eastAsia="Arial" w:cs="Arial"/>
          <w:sz w:val="24"/>
          <w:szCs w:val="24"/>
          <w:b w:val="1"/>
          <w:bCs w:val="1"/>
          <w:u w:val="single"/>
        </w:rPr>
        <w:t xml:space="preserve">prova material de disparo de arma de fogo. </w:t>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7 Tomada(s) fotográfica(s) Estojo(s) Lacre 0028814</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2" o:title=""/>
                </v:shape>
              </w:pict>
            </w:r>
          </w:p>
          <w:p>
            <w:pPr>
              <w:jc w:val="center"/>
            </w:pPr>
            <w:r>
              <w:rPr>
                <w:b w:val="1"/>
                <w:bCs w:val="1"/>
              </w:rPr>
              <w:t xml:space="preserve">Estojo(s) calibre .22 LR</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3" o:title=""/>
                </v:shape>
              </w:pict>
            </w:r>
          </w:p>
          <w:p>
            <w:pPr>
              <w:jc w:val="center"/>
            </w:pPr>
            <w:r>
              <w:rPr>
                <w:b w:val="1"/>
                <w:bCs w:val="1"/>
              </w:rPr>
              <w:t xml:space="preserve">Estojo(s) calibre .22 LR</w:t>
            </w:r>
          </w:p>
        </w:tc>
      </w:tr>
    </w:tbl>
    <w:p/>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Arma AF-A encontrava-se eficiente para a realização de tiros.</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0138349 (Arma AF-A), nº 0028814 (Estojo percutido e deflagrado), conforme requerido pelos artigos 158-A a 158-F do Código de Processo Penal (Lei nº 13.964/2019), e encaminhado para a Central de Custódia da Polícia Científica do Paraná.</w:t>
      </w:r>
    </w:p>
    <w:p/>
    <w:p>
      <w:pPr>
        <w:pStyle w:val="justify"/>
      </w:pPr>
      <w:r>
        <w:rPr>
          <w:rFonts w:ascii="Arial" w:hAnsi="Arial" w:eastAsia="Arial" w:cs="Arial"/>
          <w:sz w:val="24"/>
          <w:szCs w:val="24"/>
          <w:b w:val="1"/>
          <w:bCs w:val="1"/>
        </w:rPr>
        <w:t xml:space="preserve">6.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Cesar Augusto Januario</w:t>
            </w:r>
          </w:p>
          <w:p>
            <w:pPr>
              <w:jc w:val="center"/>
            </w:pPr>
            <w:r>
              <w:rPr>
                <w:sz w:val="28"/>
                <w:szCs w:val="28"/>
                <w:b w:val="1"/>
                <w:bCs w:val="1"/>
              </w:rPr>
              <w:t xml:space="preserve">Perito(a) Criminal – Seção de Balística Forense</w:t>
            </w:r>
          </w:p>
          <w:p>
            <w:pPr>
              <w:jc w:val="center"/>
            </w:pPr>
            <w:r>
              <w:rPr>
                <w:sz w:val="28"/>
                <w:szCs w:val="28"/>
                <w:b w:val="1"/>
                <w:bCs w:val="1"/>
              </w:rPr>
              <w:t xml:space="preserve">UETC Telêmaco Borba – Polícia Científica do Paraná</w:t>
            </w:r>
          </w:p>
        </w:tc>
      </w:tr>
    </w:tbl>
    <w:sectPr>
      <w:headerReference w:type="default" r:id="rId14"/>
      <w:footerReference w:type="default" r:id="rId15"/>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r>
      <w:pict>
        <v:shapetype id="_x0000_t32" coordsize="21600,21600" o:spt="32" o:oned="t" path="m,l21600,21600e" filled="f">
          <v:path arrowok="t" fillok="f" o:connecttype="none"/>
          <o:lock v:ext="edit" shapetype="t"/>
        </v:shapetype>
        <v:shape id="_x0000_s1001" type="#_x0000_t32" style="width:445pt; height:60pt; margin-left:500pt; margin-top:-500pt; position:relative; mso-position-horizontal:left; mso-position-vertical:top; mso-position-horizontal-relative:char; mso-position-vertical-relative:line;">
          <w10:wrap type="inline"/>
          <v:strok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145565/2024</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image" Target="media/section_image5.png"/><Relationship Id="rId12" Type="http://schemas.openxmlformats.org/officeDocument/2006/relationships/image" Target="media/section_image6.png"/><Relationship Id="rId13" Type="http://schemas.openxmlformats.org/officeDocument/2006/relationships/image" Target="media/section_image7.png"/><Relationship Id="rId14" Type="http://schemas.openxmlformats.org/officeDocument/2006/relationships/header" Target="header1.xml"/><Relationship Id="rId1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2025-01-30T16:54:49+00:00</dcterms:created>
  <dcterms:modified xsi:type="dcterms:W3CDTF">2025-01-30T16:54:49+00:00</dcterms:modified>
</cp:coreProperties>
</file>

<file path=docProps/custom.xml><?xml version="1.0" encoding="utf-8"?>
<Properties xmlns="http://schemas.openxmlformats.org/officeDocument/2006/custom-properties" xmlns:vt="http://schemas.openxmlformats.org/officeDocument/2006/docPropsVTypes"/>
</file>