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três dias do mês de fevereiro do ano de dois mil e vinte e quatro,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Lucas Felipe Scorsim</w:t>
      </w:r>
      <w:r>
        <w:rPr>
          <w:rFonts w:ascii="Arial" w:hAnsi="Arial" w:eastAsia="Arial" w:cs="Arial"/>
          <w:sz w:val="24"/>
          <w:szCs w:val="24"/>
          <w:b w:val="0"/>
          <w:bCs w:val="0"/>
        </w:rPr>
        <w:t xml:space="preserve">, para proceder ao exame dos materiais abaixo discriminados recebidos nesta Seção em 19/02/2024</w:t>
      </w:r>
      <w:r>
        <w:rPr>
          <w:rFonts w:ascii="Arial" w:hAnsi="Arial" w:eastAsia="Arial" w:cs="Arial"/>
          <w:sz w:val="24"/>
          <w:szCs w:val="24"/>
          <w:b w:val="0"/>
          <w:bCs w:val="0"/>
        </w:rPr>
        <w:t xml:space="preserve"> a fim de ser atendida solicitação contida no Ofício nº 105/2024/LHS, datado de 22/01/2024, oriundo da DELEGACIA DE FAZENDA RIO GRANDE.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3000" w:type="dxa"/>
          </w:tcPr>
          <w:p>
            <w:pPr>
              <w:jc w:val="center"/>
            </w:pPr>
            <w:r>
              <w:rPr/>
              <w:t xml:space="preserve">ALAN DE OLIVEIRA AUGUSTO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21/01/2024</w:t>
            </w:r>
          </w:p>
        </w:tc>
        <w:tc>
          <w:tcPr>
            <w:tcW w:w="1000" w:type="dxa"/>
          </w:tcPr>
          <w:p>
            <w:pPr>
              <w:jc w:val="center"/>
            </w:pPr>
            <w:r>
              <w:rPr>
                <w:b w:val="1"/>
                <w:bCs w:val="1"/>
              </w:rPr>
              <w:t xml:space="preserve">Local:</w:t>
            </w:r>
          </w:p>
        </w:tc>
        <w:tc>
          <w:tcPr>
            <w:tcW w:w="3050" w:type="dxa"/>
          </w:tcPr>
          <w:p>
            <w:pPr>
              <w:jc w:val="center"/>
            </w:pPr>
            <w:r>
              <w:rPr/>
              <w:t xml:space="preserve">FAZENDA RIO GRANDE</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86793/2024</w:t>
            </w:r>
          </w:p>
        </w:tc>
        <w:tc>
          <w:tcPr>
            <w:tcW w:w="1000" w:type="dxa"/>
          </w:tcPr>
          <w:p>
            <w:pPr>
              <w:jc w:val="center"/>
            </w:pPr>
            <w:r>
              <w:rPr>
                <w:b w:val="1"/>
                <w:bCs w:val="1"/>
              </w:rPr>
              <w:t xml:space="preserve">Nº do IP/APFD:</w:t>
            </w:r>
          </w:p>
        </w:tc>
        <w:tc>
          <w:tcPr>
            <w:tcW w:w="3050" w:type="dxa"/>
          </w:tcPr>
          <w:p>
            <w:pPr>
              <w:jc w:val="center"/>
            </w:pPr>
            <w:r>
              <w:rPr/>
              <w:t xml:space="preserve">20967/2024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DELEGACIA DE FAZENDA RIO GRANDE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MARCA TAURUS CALIBRE 9</w:t>
            </w:r>
          </w:p>
        </w:tc>
        <w:tc>
          <w:tcPr/>
          <w:p>
            <w:pPr>
              <w:jc w:val="center"/>
            </w:pPr>
            <w:r>
              <w:rPr/>
              <w:t xml:space="preserve">4437667</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12</w:t>
            </w:r>
          </w:p>
        </w:tc>
        <w:tc>
          <w:tcPr/>
          <w:p>
            <w:pPr>
              <w:jc w:val="center"/>
            </w:pPr>
            <w:r>
              <w:rPr/>
              <w:t xml:space="preserve">CARTUCHO</w:t>
            </w:r>
          </w:p>
        </w:tc>
        <w:tc>
          <w:tcPr/>
          <w:p>
            <w:pPr>
              <w:jc w:val="center"/>
            </w:pPr>
            <w:r>
              <w:rPr/>
              <w:t xml:space="preserve">CBC</w:t>
            </w:r>
          </w:p>
        </w:tc>
        <w:tc>
          <w:tcPr/>
          <w:p>
            <w:pPr>
              <w:jc w:val="center"/>
            </w:pPr>
            <w:r>
              <w:rPr/>
              <w:t xml:space="preserve">4437608</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G2C – LACRE DE ENTRADA 4437667</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G2C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DOZE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ACABAMENTO EM CARBONO FOSCO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16 cm ALTURA 13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22110/2024.</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doze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9</w:t>
            </w:r>
          </w:p>
        </w:tc>
        <w:tc>
          <w:tcPr>
            <w:tcW w:w="1100" w:type="dxa"/>
          </w:tcPr>
          <w:p>
            <w:pPr>
              <w:jc w:val="center"/>
            </w:pPr>
            <w:r>
              <w:rPr/>
              <w:t xml:space="preserve">9 x19 mm Luger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3</w:t>
            </w:r>
          </w:p>
        </w:tc>
        <w:tc>
          <w:tcPr>
            <w:tcW w:w="1100" w:type="dxa"/>
          </w:tcPr>
          <w:p>
            <w:pPr>
              <w:jc w:val="center"/>
            </w:pPr>
            <w:r>
              <w:rPr/>
              <w:t xml:space="preserve">9 x19 mm Luger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NTA</w:t>
            </w:r>
          </w:p>
        </w:tc>
      </w:tr>
      <w:tr>
        <w:trPr>
          <w:trHeight w:val="10" w:hRule="atLeast"/>
        </w:trPr>
        <w:tc>
          <w:tcPr/>
          <w:p>
            <w:pPr/>
            <w:r>
              <w:rPr>
                <w:sz w:val="18"/>
                <w:szCs w:val="18"/>
                <w:b w:val="1"/>
                <w:bCs w:val="1"/>
              </w:rPr>
              <w:t xml:space="preserve">Legenda:</w:t>
            </w:r>
          </w:p>
          <w:p>
            <w:pPr/>
            <w:r>
              <w:rPr>
                <w:sz w:val="16"/>
                <w:szCs w:val="16"/>
                <w:b w:val="0"/>
                <w:bCs w:val="0"/>
              </w:rPr>
              <w:t xml:space="preserve">ETOG Encamisado Total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Cartucho(s) Lacre 4437608</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Base-Cartucho(s) calibre 9 x19 mm Luger</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3" o:title=""/>
                </v:shape>
              </w:pict>
            </w:r>
          </w:p>
          <w:p>
            <w:pPr>
              <w:jc w:val="center"/>
            </w:pPr>
            <w:r>
              <w:rPr>
                <w:b w:val="1"/>
                <w:bCs w:val="1"/>
              </w:rPr>
              <w:t xml:space="preserve">Lateral-Cartucho(s) calibre 9 x19 mm Luger</w:t>
            </w:r>
          </w:p>
        </w:tc>
      </w:tr>
    </w:tbl>
    <w:p/>
    <w:tbl>
      <w:tblGrid>
        <w:gridCol/>
        <w:gridCol/>
      </w:tblGrid>
      <w:tblPr>
        <w:tblStyle w:val="tabela2img"/>
      </w:tblPr>
      <w:tr>
        <w:trPr>
          <w:trHeight w:val="10" w:hRule="atLeast"/>
          <w:tblHeader w:val="1"/>
        </w:trPr>
        <w:tc>
          <w:tcPr>
            <w:shd w:val="clear" w:fill="d3d3d3"/>
          </w:tcPr>
          <w:p>
            <w:pPr>
              <w:jc w:val="center"/>
            </w:pPr>
            <w:r>
              <w:rPr>
                <w:b w:val="1"/>
                <w:bCs w:val="1"/>
              </w:rPr>
              <w:t xml:space="preserve">Tabela 8 Tomada(s) fotográfica(s) Cartucho(s) Lacre 4437608</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4" o:title=""/>
                </v:shape>
              </w:pict>
            </w:r>
          </w:p>
          <w:p>
            <w:pPr>
              <w:jc w:val="center"/>
            </w:pPr>
            <w:r>
              <w:rPr>
                <w:b w:val="1"/>
                <w:bCs w:val="1"/>
              </w:rPr>
              <w:t xml:space="preserve">Base-Cartucho(s) calibre 9 x19 mm Luger</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5" o:title=""/>
                </v:shape>
              </w:pict>
            </w:r>
          </w:p>
          <w:p>
            <w:pPr>
              <w:jc w:val="center"/>
            </w:pPr>
            <w:r>
              <w:rPr>
                <w:b w:val="1"/>
                <w:bCs w:val="1"/>
              </w:rPr>
              <w:t xml:space="preserve">Lateral-Cartucho(s) calibre 9 x19 mm Luger</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Pr/>
      <w:r>
        <w:rPr>
          <w:rFonts w:ascii="Arial" w:hAnsi="Arial" w:eastAsia="Arial" w:cs="Arial"/>
          <w:sz w:val="24"/>
          <w:szCs w:val="24"/>
          <w:b w:val="0"/>
          <w:bCs w:val="0"/>
        </w:rPr>
        <w:t xml:space="preserve">•   cartuchos item 3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0000049481 (Arma AF-A),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Lucas Felipe Scorsim</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16"/>
      <w:footerReference w:type="default" r:id="rId17"/>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19949/2024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header" Target="header1.xml"/><Relationship Id="rId1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2025-01-23T23:02:32+00:00</dcterms:created>
  <dcterms:modified xsi:type="dcterms:W3CDTF">2025-01-23T23:02:32+00:00</dcterms:modified>
</cp:coreProperties>
</file>

<file path=docProps/custom.xml><?xml version="1.0" encoding="utf-8"?>
<Properties xmlns="http://schemas.openxmlformats.org/officeDocument/2006/custom-properties" xmlns:vt="http://schemas.openxmlformats.org/officeDocument/2006/docPropsVTypes"/>
</file>