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onze dias do mês de novembro do ano de dois mil e vinte e quatro, nesta cidade de Curitiba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ANDRE DIAS COELHO</w:t>
      </w:r>
      <w:r>
        <w:rPr>
          <w:rFonts w:ascii="Arial" w:hAnsi="Arial" w:eastAsia="Arial" w:cs="Arial"/>
          <w:sz w:val="24"/>
          <w:szCs w:val="24"/>
          <w:b w:val="0"/>
          <w:bCs w:val="0"/>
        </w:rPr>
        <w:t xml:space="preserve">, para proceder ao exame dos materiais abaixo discriminados recebidos nesta Seção em 04/03/2024</w:t>
      </w:r>
      <w:r>
        <w:rPr>
          <w:rFonts w:ascii="Arial" w:hAnsi="Arial" w:eastAsia="Arial" w:cs="Arial"/>
          <w:sz w:val="24"/>
          <w:szCs w:val="24"/>
          <w:b w:val="0"/>
          <w:bCs w:val="0"/>
        </w:rPr>
        <w:t xml:space="preserve"> a fim de ser atendida solicitação contida no Ofício nº 296/2024/VARF, datado de 26/02/2024, oriundo da .</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Envolvido</w:t>
            </w:r>
          </w:p>
        </w:tc>
        <w:tc>
          <w:tcPr>
            <w:tcW w:w="3000" w:type="dxa"/>
          </w:tcPr>
          <w:p>
            <w:pPr>
              <w:jc w:val="center"/>
            </w:pPr>
            <w:r>
              <w:rPr/>
              <w:t xml:space="preserve">WAGNER FERRAZ MOTTIN</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23/02/2024</w:t>
            </w:r>
          </w:p>
        </w:tc>
        <w:tc>
          <w:tcPr>
            <w:tcW w:w="1000" w:type="dxa"/>
          </w:tcPr>
          <w:p>
            <w:pPr>
              <w:jc w:val="center"/>
            </w:pPr>
            <w:r>
              <w:rPr>
                <w:b w:val="1"/>
                <w:bCs w:val="1"/>
              </w:rPr>
              <w:t xml:space="preserve">Local:</w:t>
            </w:r>
          </w:p>
        </w:tc>
        <w:tc>
          <w:tcPr>
            <w:tcW w:w="3050" w:type="dxa"/>
          </w:tcPr>
          <w:p>
            <w:pPr>
              <w:jc w:val="center"/>
            </w:pPr>
            <w:r>
              <w:rPr/>
              <w:t xml:space="preserve"/>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238139/2024</w:t>
            </w:r>
          </w:p>
        </w:tc>
        <w:tc>
          <w:tcPr>
            <w:tcW w:w="1000" w:type="dxa"/>
          </w:tcPr>
          <w:p>
            <w:pPr>
              <w:jc w:val="center"/>
            </w:pPr>
            <w:r>
              <w:rPr>
                <w:b w:val="1"/>
                <w:bCs w:val="1"/>
              </w:rPr>
              <w:t xml:space="preserve">Nº do IP ONLINE:</w:t>
            </w:r>
          </w:p>
        </w:tc>
        <w:tc>
          <w:tcPr>
            <w:tcW w:w="3050" w:type="dxa"/>
          </w:tcPr>
          <w:p>
            <w:pPr>
              <w:jc w:val="center"/>
            </w:pPr>
            <w:r>
              <w:rPr/>
              <w:t xml:space="preserve">56677/2024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PISTOLA SEM MARCA APARENTE, APARETEMENTE CALIBRE 9X19MM SEM NUMERAÇÃO IDENTIFICADORA, ACOMPANHADA DE DOIS CARREGADORES</w:t>
            </w:r>
          </w:p>
        </w:tc>
        <w:tc>
          <w:tcPr/>
          <w:p>
            <w:pPr>
              <w:jc w:val="center"/>
            </w:pPr>
            <w:r>
              <w:rPr/>
              <w:t xml:space="preserve">0007611</w:t>
            </w:r>
          </w:p>
        </w:tc>
      </w:tr>
      <w:tr>
        <w:trPr>
          <w:trHeight w:val="10" w:hRule="atLeast"/>
          <w:tblHeader w:val="1"/>
        </w:trPr>
        <w:tc>
          <w:tcPr/>
          <w:p>
            <w:pPr>
              <w:jc w:val="center"/>
            </w:pPr>
            <w:r>
              <w:rPr/>
              <w:t xml:space="preserve">2</w:t>
            </w:r>
          </w:p>
        </w:tc>
        <w:tc>
          <w:tcPr/>
          <w:p>
            <w:pPr>
              <w:jc w:val="center"/>
            </w:pPr>
            <w:r>
              <w:rPr/>
              <w:t xml:space="preserve">MUNIÇÃO</w:t>
            </w:r>
          </w:p>
        </w:tc>
        <w:tc>
          <w:tcPr/>
          <w:p>
            <w:pPr>
              <w:jc w:val="center"/>
            </w:pPr>
            <w:r>
              <w:rPr/>
              <w:t xml:space="preserve">51</w:t>
            </w:r>
          </w:p>
        </w:tc>
        <w:tc>
          <w:tcPr/>
          <w:p>
            <w:pPr>
              <w:jc w:val="center"/>
            </w:pPr>
            <w:r>
              <w:rPr/>
              <w:t xml:space="preserve">CARTUCHO</w:t>
            </w:r>
          </w:p>
        </w:tc>
        <w:tc>
          <w:tcPr/>
          <w:p>
            <w:pPr>
              <w:jc w:val="center"/>
            </w:pPr>
            <w:r>
              <w:rPr/>
              <w:t xml:space="preserve">CBC</w:t>
            </w:r>
          </w:p>
        </w:tc>
        <w:tc>
          <w:tcPr/>
          <w:p>
            <w:pPr>
              <w:jc w:val="center"/>
            </w:pPr>
            <w:r>
              <w:rPr/>
              <w:t xml:space="preserve">0007608</w:t>
            </w:r>
          </w:p>
        </w:tc>
      </w:tr>
    </w:tbl>
    <w:p>
      <w:pPr/>
      <w:r>
        <w:rPr/>
        <w:t xml:space="preserve"/>
      </w:r>
    </w:p>
    <w:p>
      <w:pPr>
        <w:pStyle w:val="justify"/>
      </w:pPr>
      <w:r>
        <w:rPr>
          <w:rFonts w:ascii="Arial" w:hAnsi="Arial" w:eastAsia="Arial" w:cs="Arial"/>
          <w:sz w:val="24"/>
          <w:szCs w:val="24"/>
          <w:b w:val="1"/>
          <w:bCs w:val="1"/>
        </w:rPr>
        <w:t xml:space="preserve">3. DO EXAME</w:t>
      </w:r>
    </w:p>
    <w:p>
      <w:pPr>
        <w:pStyle w:val="justify"/>
      </w:pPr>
      <w:r>
        <w:rPr>
          <w:rFonts w:ascii="Arial" w:hAnsi="Arial" w:eastAsia="Arial" w:cs="Arial"/>
          <w:sz w:val="24"/>
          <w:szCs w:val="24"/>
          <w:b w:val="1"/>
          <w:bCs w:val="1"/>
        </w:rPr>
        <w:t xml:space="preserve">3.1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cinquenta e um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3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51</w:t>
            </w:r>
          </w:p>
        </w:tc>
        <w:tc>
          <w:tcPr>
            <w:tcW w:w="1100" w:type="dxa"/>
          </w:tcPr>
          <w:p>
            <w:pPr>
              <w:jc w:val="center"/>
            </w:pPr>
            <w:r>
              <w:rPr/>
              <w:t xml:space="preserve">9mm Luger</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TREINA</w:t>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
      <w:pPr>
        <w:pStyle w:val="justify"/>
      </w:pPr>
      <w:r>
        <w:rPr>
          <w:rFonts w:ascii="Arial" w:hAnsi="Arial" w:eastAsia="Arial" w:cs="Arial"/>
          <w:sz w:val="24"/>
          <w:szCs w:val="24"/>
          <w:b w:val="1"/>
          <w:bCs w:val="1"/>
        </w:rPr>
        <w:t xml:space="preserve">3. 2 -DA ARMA AF-A - NÃO APARENTE  – LACRE DE ENTRADA 0007611</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5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NÃO APARENTE</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9mm Luger</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NÃO APARENTE</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LANÇADO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MOVIMENTO DUPLO ( AÇÃO SIMPLES + DUPLA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19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134.645/2024.</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6 -Tomadas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Vista lateral direita</w:t>
            </w:r>
          </w:p>
        </w:tc>
      </w:tr>
      <w:tr>
        <w:trPr>
          <w:trHeight w:val="10" w:hRule="atLeast"/>
        </w:trPr>
        <w:tc>
          <w:tcPr/>
          <w:p>
            <w:pPr>
              <w:jc w:val="center"/>
            </w:pPr>
            <w:r>
              <w:pict>
                <v:shape type="#_x0000_t75" style="width:225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Vista lateral esquerda</w:t>
            </w:r>
          </w:p>
        </w:tc>
        <w:tc>
          <w:tcPr/>
          <w:p>
            <w:pPr>
              <w:jc w:val="center"/>
            </w:pPr>
            <w:r>
              <w:pict>
                <v:shape type="#_x0000_t75" style="width:225pt; height:1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cartuchos item 2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L230466205 (Arma AF-A), conforme requerido pelos artigos 158-A a 158-F do Código de Processo Penal (Lei nº 13.964/2019), e encaminhado para a Central de Custódia da Polícia Científica do Paraná. Cumpre ressaltar que os padrões balísticos elegíveis para inclusão no Banco Nacional de Perfis Balísticos (BNPB) devem ser armazenados pelo prazo de 20 anos conforme definido no Procedimento Operacional do Sistema Nacional de Análise Balística (SINAB), independentemente de futura destruição da arma.</w:t>
      </w:r>
    </w:p>
    <w:p/>
    <w:p>
      <w:pPr>
        <w:pStyle w:val="justify"/>
      </w:pPr>
      <w:r>
        <w:rPr>
          <w:rFonts w:ascii="Arial" w:hAnsi="Arial" w:eastAsia="Arial" w:cs="Arial"/>
          <w:sz w:val="24"/>
          <w:szCs w:val="24"/>
          <w:b w:val="1"/>
          <w:bCs w:val="1"/>
        </w:rPr>
        <w:t xml:space="preserve">5.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ANDRE DIAS COELHO</w:t>
            </w:r>
          </w:p>
          <w:p>
            <w:pPr>
              <w:jc w:val="center"/>
            </w:pPr>
            <w:r>
              <w:rPr>
                <w:sz w:val="28"/>
                <w:szCs w:val="28"/>
                <w:b w:val="1"/>
                <w:bCs w:val="1"/>
              </w:rPr>
              <w:t xml:space="preserve">Perito(a) Criminal – Seção de Balística Forense</w:t>
            </w:r>
          </w:p>
          <w:p>
            <w:pPr>
              <w:jc w:val="center"/>
            </w:pPr>
            <w:r>
              <w:rPr>
                <w:sz w:val="28"/>
                <w:szCs w:val="28"/>
                <w:b w:val="1"/>
                <w:bCs w:val="1"/>
              </w:rPr>
              <w:t xml:space="preserve">UETC Curitiba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25.685/2024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2024-11-12T13:46:18+00:00</dcterms:created>
  <dcterms:modified xsi:type="dcterms:W3CDTF">2024-11-12T13:46:18+00:00</dcterms:modified>
</cp:coreProperties>
</file>

<file path=docProps/custom.xml><?xml version="1.0" encoding="utf-8"?>
<Properties xmlns="http://schemas.openxmlformats.org/officeDocument/2006/custom-properties" xmlns:vt="http://schemas.openxmlformats.org/officeDocument/2006/docPropsVTypes"/>
</file>