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EFICIÊNCIA EM ARMA DE FOGO E MUNIÇÃO)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B602 - EFICIÊNCIA E PRESTABILIDADE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dezoito dias do mês de março do ano de dois mil e vinte e cinco, nesta cidade de Umuarama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Oficial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Usuário Admin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materiais abaixo discriminados recebidos nesta Seção em 18/03/2025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a fim de ser atendida solicitação contida no Ofício nº , datado de 18/03/2025, oriundo da 12ª SDP - DELEGACIA.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sua eficiência e prestabilidade, para instruir os autos da investigação policial abaixo descrita:</w:t>
      </w:r>
    </w:p>
    <w:p/>
    <w:tbl>
      <w:tblGrid>
        <w:gridCol w:w="3052" w:type="dxa"/>
        <w:gridCol w:w="600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6000" w:type="dxa"/>
          </w:tcPr>
          <w:p>
            <w:pPr>
              <w:jc w:val="center"/>
            </w:pPr>
            <w:r>
              <w:rPr/>
              <w:t xml:space="preserve">MATEUS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ABATIÁ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IP/APFD: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45645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12ª SDP - DELEGACIA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conforme ofício recebido, o seguinte material:</w:t>
      </w:r>
    </w:p>
    <w:p/>
    <w:tbl>
      <w:tblGrid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PROJETIL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  <w:tc>
          <w:tcPr/>
          <w:p>
            <w:pPr>
              <w:jc w:val="center"/>
            </w:pPr>
            <w:r>
              <w:rPr/>
              <w:t xml:space="preserve">TESTANDO</w:t>
            </w:r>
          </w:p>
        </w:tc>
        <w:tc>
          <w:tcPr/>
          <w:p>
            <w:pPr>
              <w:jc w:val="center"/>
            </w:pPr>
            <w:r>
              <w:rPr/>
              <w:t xml:space="preserve">456456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PROJÉTEIS: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um projétil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provenientes de munição própria para uso em armas de fogo, integralmente descritos no quadro a seguir:</w:t>
      </w:r>
    </w:p>
    <w:p/>
    <w:tbl>
      <w:tblGrid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 DESCRIÇÃO DOS PROJÉTEIS</w:t>
            </w:r>
          </w:p>
        </w:tc>
      </w:t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Origem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Constituição e formato</w:t>
            </w:r>
          </w:p>
        </w:tc>
        <w:tc>
          <w:tcPr/>
          <w:p>
            <w:pPr>
              <w:jc w:val="center"/>
            </w:pPr>
            <w:r>
              <w:rPr/>
              <w:t xml:space="preserve">CHOG</w:t>
            </w:r>
          </w:p>
          <w:p>
            <w:pPr>
              <w:jc w:val="center"/>
            </w:pPr>
            <w:r>
              <w:rPr/>
              <w:t xml:space="preserve">AZUL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Massa (g)</w:t>
            </w:r>
          </w:p>
        </w:tc>
        <w:tc>
          <w:tcPr/>
          <w:p>
            <w:pPr>
              <w:jc w:val="center"/>
            </w:pPr>
            <w:r>
              <w:rPr/>
              <w:t xml:space="preserve">10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Calibre real médio (mm)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Altura máxima (mm)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Provável calibre nominal</w:t>
            </w:r>
          </w:p>
        </w:tc>
        <w:tc>
          <w:tcPr/>
          <w:p>
            <w:pPr>
              <w:jc w:val="center"/>
            </w:pPr>
            <w:r>
              <w:rPr/>
              <w:t xml:space="preserve">.22 CURTO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Raiamento e Orientação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 de Raiamento</w:t>
            </w:r>
          </w:p>
        </w:tc>
        <w:tc>
          <w:tcPr/>
          <w:p>
            <w:pPr>
              <w:jc w:val="center"/>
            </w:pPr>
            <w:r>
              <w:rPr/>
              <w:t xml:space="preserve">POLIGONAL APRIMORADO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Deformações Acidentais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Aderências 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CHOG Chumbo Ogival </w:t>
            </w:r>
          </w:p>
        </w:tc>
      </w:tr>
    </w:tbl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01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01</w:t>
            </w:r>
          </w:p>
        </w:tc>
      </w:tr>
    </w:tbl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Usuário Admin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Oficial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Umuarama – Polícia Científica do Paraná</w:t>
            </w:r>
          </w:p>
        </w:tc>
      </w:tr>
    </w:tbl>
    <w:sectPr>
      <w:headerReference w:type="default" r:id="rId9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56456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  <w:style w:type="table" w:customStyle="1" w:styleId="tabelaArmas">
    <w:name w:val="tabelaArmas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999999"/>
        <w:left w:val="single" w:sz="10" w:color="999999"/>
        <w:right w:val="single" w:sz="10" w:color="999999"/>
        <w:bottom w:val="single" w:sz="10" w:color="999999"/>
        <w:insideH w:val="single" w:sz="10" w:color="999999"/>
        <w:insideV w:val="single" w:sz="10" w:color="999999"/>
      </w:tblBorders>
    </w:tblPr>
    <w:tblStylePr w:type="firstRow">
      <w:tcPr>
        <w:tcPr>
          <w:shd w:val="clear" w:fill=" #F0F0F0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2025-03-19T11:37:43+00:00</dcterms:created>
  <dcterms:modified xsi:type="dcterms:W3CDTF">2025-03-19T11:37:43+00:00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