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onze dias do mês de fevereiro do ano de dois mil e vinte e cinco, nesta cidade de Curitiba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ANDRE DIAS COELHO</w:t>
      </w:r>
      <w:r>
        <w:rPr>
          <w:rFonts w:ascii="Arial" w:hAnsi="Arial" w:eastAsia="Arial" w:cs="Arial"/>
          <w:sz w:val="24"/>
          <w:szCs w:val="24"/>
          <w:b w:val="0"/>
          <w:bCs w:val="0"/>
        </w:rPr>
        <w:t xml:space="preserve">, para proceder ao exame dos materiais abaixo discriminados recebidos nesta Seção em 23/08/2024</w:t>
      </w:r>
      <w:r>
        <w:rPr>
          <w:rFonts w:ascii="Arial" w:hAnsi="Arial" w:eastAsia="Arial" w:cs="Arial"/>
          <w:sz w:val="24"/>
          <w:szCs w:val="24"/>
          <w:b w:val="0"/>
          <w:bCs w:val="0"/>
        </w:rPr>
        <w:t xml:space="preserve"> a fim de ser atendida solicitação contida no Ofício nº 745/2024/PRBDSL, datado de 22/08/2024, oriundo da 6ª DELEGACIA REGIONAL DE POLÍCIA DE PIRAQUARA.</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Em poder de</w:t>
            </w:r>
          </w:p>
        </w:tc>
        <w:tc>
          <w:tcPr>
            <w:tcW w:w="3000" w:type="dxa"/>
          </w:tcPr>
          <w:p>
            <w:pPr>
              <w:jc w:val="center"/>
            </w:pPr>
            <w:r>
              <w:rPr/>
              <w:t xml:space="preserve">MATHEUS HENRIQUE DA SILVA</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17/08/2024</w:t>
            </w:r>
          </w:p>
        </w:tc>
        <w:tc>
          <w:tcPr>
            <w:tcW w:w="1000" w:type="dxa"/>
          </w:tcPr>
          <w:p>
            <w:pPr>
              <w:jc w:val="center"/>
            </w:pPr>
            <w:r>
              <w:rPr>
                <w:b w:val="1"/>
                <w:bCs w:val="1"/>
              </w:rPr>
              <w:t xml:space="preserve">Local:</w:t>
            </w:r>
          </w:p>
        </w:tc>
        <w:tc>
          <w:tcPr>
            <w:tcW w:w="3050" w:type="dxa"/>
          </w:tcPr>
          <w:p>
            <w:pPr>
              <w:jc w:val="center"/>
            </w:pPr>
            <w:r>
              <w:rPr/>
              <w:t xml:space="preserve">PIRAQUARA</w:t>
            </w:r>
          </w:p>
        </w:tc>
      </w:tr>
      <w:tr>
        <w:trPr>
          <w:trHeight w:val="50" w:hRule="atLeast"/>
        </w:trPr>
        <w:tc>
          <w:tcPr>
            <w:tcW w:w="2000" w:type="dxa"/>
          </w:tcPr>
          <w:p>
            <w:pPr>
              <w:jc w:val="center"/>
            </w:pPr>
            <w:r>
              <w:rPr>
                <w:b w:val="1"/>
                <w:bCs w:val="1"/>
              </w:rPr>
              <w:t xml:space="preserve">Boletim de Ocorrência:</w:t>
            </w:r>
          </w:p>
        </w:tc>
        <w:tc>
          <w:tcPr>
            <w:tcW w:w="2500" w:type="dxa"/>
          </w:tcPr>
          <w:p>
            <w:pPr>
              <w:jc w:val="center"/>
            </w:pPr>
            <w:r>
              <w:rPr/>
              <w:t xml:space="preserve">1019191/2024</w:t>
            </w:r>
          </w:p>
        </w:tc>
        <w:tc>
          <w:tcPr>
            <w:tcW w:w="1000" w:type="dxa"/>
          </w:tcPr>
          <w:p>
            <w:pPr>
              <w:jc w:val="center"/>
            </w:pPr>
            <w:r>
              <w:rPr>
                <w:b w:val="1"/>
                <w:bCs w:val="1"/>
              </w:rPr>
              <w:t xml:space="preserve">Nº do IP ONLINE:</w:t>
            </w:r>
          </w:p>
        </w:tc>
        <w:tc>
          <w:tcPr>
            <w:tcW w:w="3050" w:type="dxa"/>
          </w:tcPr>
          <w:p>
            <w:pPr>
              <w:jc w:val="center"/>
            </w:pPr>
            <w:r>
              <w:rPr/>
              <w:t xml:space="preserve">228585/2024</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6ª DELEGACIA REGIONAL DE POLÍCIA DE PIRAQUARA</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ARMA</w:t>
            </w:r>
          </w:p>
        </w:tc>
        <w:tc>
          <w:tcPr/>
          <w:p>
            <w:pPr>
              <w:jc w:val="center"/>
            </w:pPr>
            <w:r>
              <w:rPr/>
              <w:t xml:space="preserve">1</w:t>
            </w:r>
          </w:p>
        </w:tc>
        <w:tc>
          <w:tcPr/>
          <w:p>
            <w:pPr>
              <w:jc w:val="center"/>
            </w:pPr>
            <w:r>
              <w:rPr/>
              <w:t xml:space="preserve">PISTOLA</w:t>
            </w:r>
          </w:p>
        </w:tc>
        <w:tc>
          <w:tcPr/>
          <w:p>
            <w:pPr>
              <w:jc w:val="center"/>
            </w:pPr>
            <w:r>
              <w:rPr/>
              <w:t xml:space="preserve">PISTOLA TAURUS</w:t>
            </w:r>
          </w:p>
        </w:tc>
        <w:tc>
          <w:tcPr/>
          <w:p>
            <w:pPr>
              <w:jc w:val="center"/>
            </w:pPr>
            <w:r>
              <w:rPr/>
              <w:t xml:space="preserve">9655342</w:t>
            </w:r>
          </w:p>
        </w:tc>
      </w:tr>
      <w:tr>
        <w:trPr>
          <w:trHeight w:val="10" w:hRule="atLeast"/>
          <w:tblHeader w:val="1"/>
        </w:trPr>
        <w:tc>
          <w:tcPr/>
          <w:p>
            <w:pPr>
              <w:jc w:val="center"/>
            </w:pPr>
            <w:r>
              <w:rPr/>
              <w:t xml:space="preserve">2</w:t>
            </w:r>
          </w:p>
        </w:tc>
        <w:tc>
          <w:tcPr/>
          <w:p>
            <w:pPr>
              <w:jc w:val="center"/>
            </w:pPr>
            <w:r>
              <w:rPr/>
              <w:t xml:space="preserve">MUNIÇÃO</w:t>
            </w:r>
          </w:p>
        </w:tc>
        <w:tc>
          <w:tcPr/>
          <w:p>
            <w:pPr>
              <w:jc w:val="center"/>
            </w:pPr>
            <w:r>
              <w:rPr/>
              <w:t xml:space="preserve">66</w:t>
            </w:r>
          </w:p>
        </w:tc>
        <w:tc>
          <w:tcPr/>
          <w:p>
            <w:pPr>
              <w:jc w:val="center"/>
            </w:pPr>
            <w:r>
              <w:rPr/>
              <w:t xml:space="preserve">CARTUCHO</w:t>
            </w:r>
          </w:p>
        </w:tc>
        <w:tc>
          <w:tcPr/>
          <w:p>
            <w:pPr>
              <w:jc w:val="center"/>
            </w:pPr>
            <w:r>
              <w:rPr/>
              <w:t xml:space="preserve">CBC</w:t>
            </w:r>
          </w:p>
        </w:tc>
        <w:tc>
          <w:tcPr/>
          <w:p>
            <w:pPr>
              <w:jc w:val="center"/>
            </w:pPr>
            <w:r>
              <w:rPr/>
              <w:t xml:space="preserve">0002046</w:t>
            </w:r>
          </w:p>
        </w:tc>
      </w:tr>
      <w:tr>
        <w:trPr>
          <w:trHeight w:val="10" w:hRule="atLeast"/>
          <w:tblHeader w:val="1"/>
        </w:trPr>
        <w:tc>
          <w:tcPr/>
          <w:p>
            <w:pPr>
              <w:jc w:val="center"/>
            </w:pPr>
            <w:r>
              <w:rPr/>
              <w:t xml:space="preserve">3</w:t>
            </w:r>
          </w:p>
        </w:tc>
        <w:tc>
          <w:tcPr/>
          <w:p>
            <w:pPr>
              <w:jc w:val="center"/>
            </w:pPr>
            <w:r>
              <w:rPr/>
              <w:t xml:space="preserve">MUNIÇÃO</w:t>
            </w:r>
          </w:p>
        </w:tc>
        <w:tc>
          <w:tcPr/>
          <w:p>
            <w:pPr>
              <w:jc w:val="center"/>
            </w:pPr>
            <w:r>
              <w:rPr/>
              <w:t xml:space="preserve">1</w:t>
            </w:r>
          </w:p>
        </w:tc>
        <w:tc>
          <w:tcPr/>
          <w:p>
            <w:pPr>
              <w:jc w:val="center"/>
            </w:pPr>
            <w:r>
              <w:rPr/>
              <w:t xml:space="preserve">CARTUCHO</w:t>
            </w:r>
          </w:p>
        </w:tc>
        <w:tc>
          <w:tcPr/>
          <w:p>
            <w:pPr>
              <w:jc w:val="center"/>
            </w:pPr>
            <w:r>
              <w:rPr/>
              <w:t xml:space="preserve">A USA</w:t>
            </w:r>
          </w:p>
        </w:tc>
        <w:tc>
          <w:tcPr/>
          <w:p>
            <w:pPr>
              <w:jc w:val="center"/>
            </w:pPr>
            <w:r>
              <w:rPr/>
              <w:t xml:space="preserve">0002046</w:t>
            </w:r>
          </w:p>
        </w:tc>
      </w:tr>
      <w:tr>
        <w:trPr>
          <w:trHeight w:val="10" w:hRule="atLeast"/>
          <w:tblHeader w:val="1"/>
        </w:trPr>
        <w:tc>
          <w:tcPr/>
          <w:p>
            <w:pPr>
              <w:jc w:val="center"/>
            </w:pPr>
            <w:r>
              <w:rPr/>
              <w:t xml:space="preserve">4</w:t>
            </w:r>
          </w:p>
        </w:tc>
        <w:tc>
          <w:tcPr/>
          <w:p>
            <w:pPr>
              <w:jc w:val="center"/>
            </w:pPr>
            <w:r>
              <w:rPr/>
              <w:t xml:space="preserve">MUNIÇÃO</w:t>
            </w:r>
          </w:p>
        </w:tc>
        <w:tc>
          <w:tcPr/>
          <w:p>
            <w:pPr>
              <w:jc w:val="center"/>
            </w:pPr>
            <w:r>
              <w:rPr/>
              <w:t xml:space="preserve">3</w:t>
            </w:r>
          </w:p>
        </w:tc>
        <w:tc>
          <w:tcPr/>
          <w:p>
            <w:pPr>
              <w:jc w:val="center"/>
            </w:pPr>
            <w:r>
              <w:rPr/>
              <w:t xml:space="preserve">ESTOJO</w:t>
            </w:r>
          </w:p>
        </w:tc>
        <w:tc>
          <w:tcPr/>
          <w:p>
            <w:pPr>
              <w:jc w:val="center"/>
            </w:pPr>
            <w:r>
              <w:rPr/>
              <w:t xml:space="preserve">CBC</w:t>
            </w:r>
          </w:p>
        </w:tc>
        <w:tc>
          <w:tcPr/>
          <w:p>
            <w:pPr>
              <w:jc w:val="center"/>
            </w:pPr>
            <w:r>
              <w:rPr/>
              <w:t xml:space="preserve">0002046</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1. 1 -DA ARMA AF-A - TAURUS PT58 S – LACRE DE ENTRADA 9655342</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4 – Descrição da Pistola</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TAURUS</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PT58 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.380 AUTO</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BRASILEIRA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KOC64509</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SEMI-AUTOMÁTICO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102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SEIS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TREZE</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INDIRETA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MOVIMENTO DUPLO ( AÇÃO SIMPLES + DUPLA )</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ALUMÍNIO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DESPROVIDO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180 cm ALTURA 128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e/ou inclusão no Banco Nacional de Perfis Balísticos, conforme descrito no Relatório de Coleta de Padrão nº 17.375/2025.</w:t>
      </w:r>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5 -Tomadas fotográficas- Pistola</w:t>
            </w:r>
          </w:p>
        </w:tc>
      </w:tr>
      <w:tr>
        <w:trPr>
          <w:trHeight w:val="10" w:hRule="atLeast"/>
          <w:cantSplit w:val="1"/>
        </w:trPr>
        <w:tc>
          <w:tcPr/>
          <w:p>
            <w:pPr>
              <w:jc w:val="center"/>
            </w:pPr>
            <w:r>
              <w:pict>
                <v:shape type="#_x0000_t75" style="width:450pt; height:25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Vista lateral direita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Vista lateral esquerda</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1" o:title=""/>
                </v:shape>
              </w:pict>
            </w:r>
          </w:p>
          <w:p>
            <w:pPr>
              <w:jc w:val="center"/>
            </w:pPr>
            <w:r>
              <w:rPr>
                <w:b w:val="1"/>
                <w:bCs w:val="1"/>
              </w:rPr>
              <w:t xml:space="preserve">Número de série</w:t>
            </w:r>
          </w:p>
        </w:tc>
      </w:tr>
    </w:tbl>
    <w:p/>
    <w:p>
      <w:pPr>
        <w:pStyle w:val="justify"/>
      </w:pPr>
      <w:r>
        <w:rPr>
          <w:rFonts w:ascii="Arial" w:hAnsi="Arial" w:eastAsia="Arial" w:cs="Arial"/>
          <w:sz w:val="24"/>
          <w:szCs w:val="24"/>
          <w:b w:val="1"/>
          <w:bCs w:val="1"/>
        </w:rPr>
        <w:t xml:space="preserve">3.2 DOS CARTUCHOS INTACTOS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sessenta e seis cartuchos </w:t>
      </w:r>
      <w:r>
        <w:rPr>
          <w:rFonts w:ascii="Arial" w:hAnsi="Arial" w:eastAsia="Arial" w:cs="Arial"/>
          <w:sz w:val="24"/>
          <w:szCs w:val="24"/>
          <w:b w:val="0"/>
          <w:bCs w:val="0"/>
        </w:rPr>
        <w:t xml:space="preserve"> próprios para uso em armas de fogo, integralmente descritos no quadro a seguir:</w:t>
      </w:r>
      <w:br/>
    </w:p>
    <w:tbl>
      <w:tblGrid>
        <w:gridCol w:w="400" w:type="dxa"/>
        <w:gridCol w:w="1100" w:type="dxa"/>
        <w:gridCol w:w="1187" w:type="dxa"/>
        <w:gridCol w:w="1600" w:type="dxa"/>
        <w:gridCol w:w="1200" w:type="dxa"/>
        <w:gridCol w:w="155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6 – DESCRIÇÃO DOS CARTUCHOS</w:t>
            </w:r>
          </w:p>
        </w:tc>
      </w:tr>
      <w:tr>
        <w:trPr>
          <w:trHeight w:val="10" w:hRule="atLeast"/>
        </w:trPr>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600" w:type="dxa"/>
          </w:tcPr>
          <w:p>
            <w:pPr>
              <w:jc w:val="center"/>
            </w:pPr>
            <w:r>
              <w:rPr>
                <w:b w:val="1"/>
                <w:bCs w:val="1"/>
              </w:rPr>
              <w:t xml:space="preserve">Procedência</w:t>
            </w:r>
          </w:p>
        </w:tc>
        <w:tc>
          <w:tcPr>
            <w:tcW w:w="1200" w:type="dxa"/>
          </w:tcPr>
          <w:p>
            <w:pPr>
              <w:jc w:val="center"/>
            </w:pPr>
            <w:r>
              <w:rPr>
                <w:b w:val="1"/>
                <w:bCs w:val="1"/>
              </w:rPr>
              <w:t xml:space="preserve">Espoleta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31</w:t>
            </w:r>
          </w:p>
        </w:tc>
        <w:tc>
          <w:tcPr>
            <w:tcW w:w="1100" w:type="dxa"/>
          </w:tcPr>
          <w:p>
            <w:pPr>
              <w:jc w:val="center"/>
            </w:pPr>
            <w:r>
              <w:rPr/>
              <w:t xml:space="preserve">.380 AUTO</w:t>
            </w:r>
          </w:p>
        </w:tc>
        <w:tc>
          <w:tcPr>
            <w:tcW w:w="1187" w:type="dxa"/>
          </w:tcPr>
          <w:p>
            <w:pPr>
              <w:jc w:val="center"/>
            </w:pPr>
            <w:r>
              <w:rPr/>
              <w:t xml:space="preserve">CBC</w:t>
            </w:r>
          </w:p>
        </w:tc>
        <w:tc>
          <w:tcPr>
            <w:tcW w:w="1600" w:type="dxa"/>
          </w:tcPr>
          <w:p>
            <w:pPr>
              <w:jc w:val="center"/>
            </w:pPr>
            <w:r>
              <w:rPr/>
              <w:t xml:space="preserve">BRASILEIRA</w:t>
            </w:r>
          </w:p>
        </w:tc>
        <w:tc>
          <w:tcPr>
            <w:tcW w:w="1200" w:type="dxa"/>
          </w:tcPr>
          <w:p>
            <w:pPr>
              <w:jc w:val="center"/>
            </w:pPr>
            <w:r>
              <w:rPr/>
              <w:t xml:space="preserve">NIQUELADA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CHOG</w:t>
            </w:r>
          </w:p>
        </w:tc>
        <w:tc>
          <w:tcPr>
            <w:tcW w:w="1250" w:type="dxa"/>
          </w:tcPr>
          <w:p>
            <w:pPr>
              <w:jc w:val="center"/>
            </w:pPr>
            <w:r>
              <w:rPr/>
              <w:t xml:space="preserve">INTACTO</w:t>
            </w:r>
          </w:p>
          <w:p>
            <w:pPr>
              <w:jc w:val="center"/>
            </w:pPr>
            <w:r>
              <w:rPr/>
              <w:t xml:space="preserve">PROJETIL COM PINTURA DE COR PRETA</w:t>
            </w:r>
          </w:p>
        </w:tc>
      </w:tr>
      <w:tr>
        <w:trPr>
          <w:trHeight w:val="10" w:hRule="atLeast"/>
        </w:trPr>
        <w:tc>
          <w:tcPr>
            <w:tcW w:w="400" w:type="dxa"/>
          </w:tcPr>
          <w:p>
            <w:pPr>
              <w:jc w:val="center"/>
            </w:pPr>
            <w:r>
              <w:rPr/>
              <w:t xml:space="preserve">1</w:t>
            </w:r>
          </w:p>
        </w:tc>
        <w:tc>
          <w:tcPr>
            <w:tcW w:w="1100" w:type="dxa"/>
          </w:tcPr>
          <w:p>
            <w:pPr>
              <w:jc w:val="center"/>
            </w:pPr>
            <w:r>
              <w:rPr/>
              <w:t xml:space="preserve">.380 AUTO</w:t>
            </w:r>
          </w:p>
        </w:tc>
        <w:tc>
          <w:tcPr>
            <w:tcW w:w="1187" w:type="dxa"/>
          </w:tcPr>
          <w:p>
            <w:pPr>
              <w:jc w:val="center"/>
            </w:pPr>
            <w:r>
              <w:rPr/>
              <w:t xml:space="preserve">A USA</w:t>
            </w:r>
          </w:p>
        </w:tc>
        <w:tc>
          <w:tcPr>
            <w:tcW w:w="1600" w:type="dxa"/>
          </w:tcPr>
          <w:p>
            <w:pPr>
              <w:jc w:val="center"/>
            </w:pPr>
            <w:r>
              <w:rPr/>
              <w:t xml:space="preserve">ESTADUNIDENSE</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ETOG</w:t>
            </w:r>
          </w:p>
        </w:tc>
        <w:tc>
          <w:tcPr>
            <w:tcW w:w="1250" w:type="dxa"/>
          </w:tcPr>
          <w:p>
            <w:pPr>
              <w:jc w:val="center"/>
            </w:pPr>
            <w:r>
              <w:rPr/>
              <w:t xml:space="preserve">INTACTO</w:t>
            </w:r>
          </w:p>
          <w:p>
            <w:pPr>
              <w:jc w:val="center"/>
            </w:pPr>
            <w:r>
              <w:rPr/>
              <w:t xml:space="preserve"/>
            </w:r>
          </w:p>
        </w:tc>
      </w:tr>
      <w:tr>
        <w:trPr>
          <w:trHeight w:val="10" w:hRule="atLeast"/>
        </w:trPr>
        <w:tc>
          <w:tcPr>
            <w:tcW w:w="400" w:type="dxa"/>
          </w:tcPr>
          <w:p>
            <w:pPr>
              <w:jc w:val="center"/>
            </w:pPr>
            <w:r>
              <w:rPr/>
              <w:t xml:space="preserve">33</w:t>
            </w:r>
          </w:p>
        </w:tc>
        <w:tc>
          <w:tcPr>
            <w:tcW w:w="1100" w:type="dxa"/>
          </w:tcPr>
          <w:p>
            <w:pPr>
              <w:jc w:val="center"/>
            </w:pPr>
            <w:r>
              <w:rPr/>
              <w:t xml:space="preserve">.380 AUTO</w:t>
            </w:r>
          </w:p>
        </w:tc>
        <w:tc>
          <w:tcPr>
            <w:tcW w:w="1187" w:type="dxa"/>
          </w:tcPr>
          <w:p>
            <w:pPr>
              <w:jc w:val="center"/>
            </w:pPr>
            <w:r>
              <w:rPr/>
              <w:t xml:space="preserve">CBC</w:t>
            </w:r>
          </w:p>
        </w:tc>
        <w:tc>
          <w:tcPr>
            <w:tcW w:w="1600" w:type="dxa"/>
          </w:tcPr>
          <w:p>
            <w:pPr>
              <w:jc w:val="center"/>
            </w:pPr>
            <w:r>
              <w:rPr/>
              <w:t xml:space="preserve">BRASILEIRA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ETOG</w:t>
            </w:r>
          </w:p>
        </w:tc>
        <w:tc>
          <w:tcPr>
            <w:tcW w:w="1250" w:type="dxa"/>
          </w:tcPr>
          <w:p>
            <w:pPr>
              <w:jc w:val="center"/>
            </w:pPr>
            <w:r>
              <w:rPr/>
              <w:t xml:space="preserve">INTACTO</w:t>
            </w:r>
          </w:p>
          <w:p>
            <w:pPr>
              <w:jc w:val="center"/>
            </w:pPr>
            <w:r>
              <w:rPr/>
              <w:t xml:space="preserve"/>
            </w:r>
          </w:p>
        </w:tc>
      </w:tr>
      <w:tr>
        <w:trPr>
          <w:trHeight w:val="10" w:hRule="atLeast"/>
        </w:trPr>
        <w:tc>
          <w:tcPr>
            <w:tcW w:w="400" w:type="dxa"/>
          </w:tcPr>
          <w:p>
            <w:pPr>
              <w:jc w:val="center"/>
            </w:pPr>
            <w:r>
              <w:rPr/>
              <w:t xml:space="preserve">1</w:t>
            </w:r>
          </w:p>
        </w:tc>
        <w:tc>
          <w:tcPr>
            <w:tcW w:w="1100" w:type="dxa"/>
          </w:tcPr>
          <w:p>
            <w:pPr>
              <w:jc w:val="center"/>
            </w:pPr>
            <w:r>
              <w:rPr/>
              <w:t xml:space="preserve">.380 AUTO</w:t>
            </w:r>
          </w:p>
        </w:tc>
        <w:tc>
          <w:tcPr>
            <w:tcW w:w="1187" w:type="dxa"/>
          </w:tcPr>
          <w:p>
            <w:pPr>
              <w:jc w:val="center"/>
            </w:pPr>
            <w:r>
              <w:rPr/>
              <w:t xml:space="preserve">CBC</w:t>
            </w:r>
          </w:p>
        </w:tc>
        <w:tc>
          <w:tcPr>
            <w:tcW w:w="1600" w:type="dxa"/>
          </w:tcPr>
          <w:p>
            <w:pPr>
              <w:jc w:val="center"/>
            </w:pPr>
            <w:r>
              <w:rPr/>
              <w:t xml:space="preserve">BRASILEIRA</w:t>
            </w:r>
          </w:p>
        </w:tc>
        <w:tc>
          <w:tcPr>
            <w:tcW w:w="1200" w:type="dxa"/>
          </w:tcPr>
          <w:p>
            <w:pPr>
              <w:jc w:val="center"/>
            </w:pPr>
            <w:r>
              <w:rPr/>
              <w:t xml:space="preserve">NIQUELADA</w:t>
            </w:r>
          </w:p>
        </w:tc>
        <w:tc>
          <w:tcPr>
            <w:tcW w:w="1550" w:type="dxa"/>
          </w:tcPr>
          <w:p>
            <w:pPr>
              <w:jc w:val="center"/>
            </w:pPr>
            <w:r>
              <w:rPr/>
              <w:t xml:space="preserve">NIQUELADO</w:t>
            </w:r>
          </w:p>
          <w:p>
            <w:pPr>
              <w:jc w:val="center"/>
            </w:pPr>
            <w:r>
              <w:rPr/>
              <w:t xml:space="preserve"/>
            </w:r>
          </w:p>
        </w:tc>
        <w:tc>
          <w:tcPr>
            <w:tcW w:w="820" w:type="dxa"/>
          </w:tcPr>
          <w:p>
            <w:pPr>
              <w:jc w:val="center"/>
            </w:pPr>
            <w:r>
              <w:rPr/>
              <w:t xml:space="preserve">CHOG</w:t>
            </w:r>
          </w:p>
        </w:tc>
        <w:tc>
          <w:tcPr>
            <w:tcW w:w="1250" w:type="dxa"/>
          </w:tcPr>
          <w:p>
            <w:pPr>
              <w:jc w:val="center"/>
            </w:pPr>
            <w:r>
              <w:rPr/>
              <w:t xml:space="preserve">INTACTO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CHOG Chumbo Ogival ETOG Encamisado Total Ogival</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7 Tomada(s) fotográfica(s) Cartucho(s) Lacre 0002046</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Base-Cartucho(s) calibre .380 AUTO</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Lateral-Cartucho(s) calibre .380 AUTO</w:t>
            </w:r>
          </w:p>
        </w:tc>
      </w:tr>
    </w:tbl>
    <w:p/>
    <w:p/>
    <w:p/>
    <w:p>
      <w:pPr>
        <w:pStyle w:val="justify"/>
      </w:pPr>
      <w:r>
        <w:rPr>
          <w:rFonts w:ascii="Arial" w:hAnsi="Arial" w:eastAsia="Arial" w:cs="Arial"/>
          <w:sz w:val="24"/>
          <w:szCs w:val="24"/>
          <w:b w:val="1"/>
          <w:bCs w:val="1"/>
        </w:rPr>
        <w:t xml:space="preserve">3.3 DOS CARTUCHOS PERCUTIDO E NÃO DEFLAGRADOS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um cartuchos </w:t>
      </w:r>
      <w:r>
        <w:rPr>
          <w:rFonts w:ascii="Arial" w:hAnsi="Arial" w:eastAsia="Arial" w:cs="Arial"/>
          <w:sz w:val="24"/>
          <w:szCs w:val="24"/>
          <w:b w:val="0"/>
          <w:bCs w:val="0"/>
        </w:rPr>
        <w:t xml:space="preserve"> próprios para uso em armas de fogo, integralmente descritos no quadro a seguir:</w:t>
      </w:r>
      <w:br/>
    </w:p>
    <w:tbl>
      <w:tblGrid>
        <w:gridCol w:w="400" w:type="dxa"/>
        <w:gridCol w:w="1100" w:type="dxa"/>
        <w:gridCol w:w="1187" w:type="dxa"/>
        <w:gridCol w:w="1600" w:type="dxa"/>
        <w:gridCol w:w="1200" w:type="dxa"/>
        <w:gridCol w:w="155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10 – DESCRIÇÃO DOS CARTUCHOS</w:t>
            </w:r>
          </w:p>
        </w:tc>
      </w:tr>
      <w:tr>
        <w:trPr>
          <w:trHeight w:val="10" w:hRule="atLeast"/>
        </w:trPr>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600" w:type="dxa"/>
          </w:tcPr>
          <w:p>
            <w:pPr>
              <w:jc w:val="center"/>
            </w:pPr>
            <w:r>
              <w:rPr>
                <w:b w:val="1"/>
                <w:bCs w:val="1"/>
              </w:rPr>
              <w:t xml:space="preserve">Procedência</w:t>
            </w:r>
          </w:p>
        </w:tc>
        <w:tc>
          <w:tcPr>
            <w:tcW w:w="1200" w:type="dxa"/>
          </w:tcPr>
          <w:p>
            <w:pPr>
              <w:jc w:val="center"/>
            </w:pPr>
            <w:r>
              <w:rPr>
                <w:b w:val="1"/>
                <w:bCs w:val="1"/>
              </w:rPr>
              <w:t xml:space="preserve">Espoleta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1</w:t>
            </w:r>
          </w:p>
        </w:tc>
        <w:tc>
          <w:tcPr>
            <w:tcW w:w="1100" w:type="dxa"/>
          </w:tcPr>
          <w:p>
            <w:pPr>
              <w:jc w:val="center"/>
            </w:pPr>
            <w:r>
              <w:rPr/>
              <w:t xml:space="preserve">.380 AUTO</w:t>
            </w:r>
          </w:p>
        </w:tc>
        <w:tc>
          <w:tcPr>
            <w:tcW w:w="1187" w:type="dxa"/>
          </w:tcPr>
          <w:p>
            <w:pPr>
              <w:jc w:val="center"/>
            </w:pPr>
            <w:r>
              <w:rPr/>
              <w:t xml:space="preserve">CBC</w:t>
            </w:r>
          </w:p>
        </w:tc>
        <w:tc>
          <w:tcPr>
            <w:tcW w:w="1600" w:type="dxa"/>
          </w:tcPr>
          <w:p>
            <w:pPr>
              <w:jc w:val="center"/>
            </w:pPr>
            <w:r>
              <w:rPr/>
              <w:t xml:space="preserve">BRASILEIRA</w:t>
            </w:r>
          </w:p>
        </w:tc>
        <w:tc>
          <w:tcPr>
            <w:tcW w:w="1200" w:type="dxa"/>
          </w:tcPr>
          <w:p>
            <w:pPr>
              <w:jc w:val="center"/>
            </w:pPr>
            <w:r>
              <w:rPr/>
              <w:t xml:space="preserve">NIQUELADA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CHOG</w:t>
            </w:r>
          </w:p>
        </w:tc>
        <w:tc>
          <w:tcPr>
            <w:tcW w:w="1250" w:type="dxa"/>
          </w:tcPr>
          <w:p>
            <w:pPr>
              <w:jc w:val="center"/>
            </w:pPr>
            <w:r>
              <w:rPr/>
              <w:t xml:space="preserve">PERCUTIDO E NÃO DEFLAGRADO</w:t>
            </w:r>
          </w:p>
          <w:p>
            <w:pPr>
              <w:jc w:val="center"/>
            </w:pPr>
            <w:r>
              <w:rPr/>
              <w:t xml:space="preserve">PROJETIL COM PINTURA DE COR PRETA</w:t>
            </w:r>
          </w:p>
        </w:tc>
      </w:tr>
      <w:tr>
        <w:trPr>
          <w:trHeight w:val="10" w:hRule="atLeast"/>
        </w:trPr>
        <w:tc>
          <w:tcPr/>
          <w:p>
            <w:pPr/>
            <w:r>
              <w:rPr>
                <w:sz w:val="18"/>
                <w:szCs w:val="18"/>
                <w:b w:val="1"/>
                <w:bCs w:val="1"/>
              </w:rPr>
              <w:t xml:space="preserve">Legenda:</w:t>
            </w:r>
          </w:p>
          <w:p>
            <w:pPr/>
            <w:r>
              <w:rPr>
                <w:sz w:val="16"/>
                <w:szCs w:val="16"/>
                <w:b w:val="0"/>
                <w:bCs w:val="0"/>
              </w:rPr>
              <w:t xml:space="preserve">CHOG Chumbo Ogival</w:t>
            </w:r>
          </w:p>
        </w:tc>
      </w:tr>
    </w:tbl>
    <w:p/>
    <w:p>
      <w:pPr>
        <w:pStyle w:val="justify"/>
      </w:pPr>
      <w:r>
        <w:rPr>
          <w:rFonts w:ascii="Arial" w:hAnsi="Arial" w:eastAsia="Arial" w:cs="Arial"/>
          <w:sz w:val="24"/>
          <w:szCs w:val="24"/>
          <w:b w:val="0"/>
          <w:bCs w:val="0"/>
        </w:rPr>
        <w:t xml:space="preserve">Os cartuchos percutidos e não deflagrados foram retornados à Central de Custódia, devidamente embalados </w:t>
      </w:r>
      <w:r>
        <w:rPr>
          <w:rFonts w:ascii="Arial" w:hAnsi="Arial" w:eastAsia="Arial" w:cs="Arial"/>
          <w:sz w:val="24"/>
          <w:szCs w:val="24"/>
          <w:b w:val="0"/>
          <w:bCs w:val="0"/>
        </w:rPr>
        <w:t xml:space="preserve">preservando a integridade das marcas de percussão para futuros exames de comparação microbalística, prestando ainda como prova material de tentativa de disparo de arma de fogo.</w:t>
      </w:r>
    </w:p>
    <w:p/>
    <w:p/>
    <w:p/>
    <w:p>
      <w:pPr>
        <w:pStyle w:val="justify"/>
      </w:pPr>
      <w:r>
        <w:rPr>
          <w:rFonts w:ascii="Arial" w:hAnsi="Arial" w:eastAsia="Arial" w:cs="Arial"/>
          <w:sz w:val="24"/>
          <w:szCs w:val="24"/>
          <w:b w:val="1"/>
          <w:bCs w:val="1"/>
        </w:rPr>
        <w:t xml:space="preserve">3.4 DOS ESTOJOS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três estojos </w:t>
      </w:r>
      <w:r>
        <w:rPr>
          <w:rFonts w:ascii="Arial" w:hAnsi="Arial" w:eastAsia="Arial" w:cs="Arial"/>
          <w:sz w:val="24"/>
          <w:szCs w:val="24"/>
          <w:b w:val="0"/>
          <w:bCs w:val="0"/>
        </w:rPr>
        <w:t xml:space="preserve">provenientes de cartuchos próprios para uso em armas de fogo, percutido e deflagrado, integralmente descritos no quadro a seguir:</w:t>
      </w:r>
    </w:p>
    <w:p/>
    <w:tbl>
      <w:tblGrid>
        <w:gridCol w:w="1900" w:type="dxa"/>
        <w:gridCol w:w="500" w:type="dxa"/>
        <w:gridCol w:w="1400" w:type="dxa"/>
        <w:gridCol w:w="1000" w:type="dxa"/>
        <w:gridCol w:w="1400" w:type="dxa"/>
        <w:gridCol w:w="1500" w:type="dxa"/>
        <w:gridCol w:w="1400" w:type="dxa"/>
      </w:tblGrid>
      <w:tblPr>
        <w:tblStyle w:val="tabela"/>
      </w:tblPr>
      <w:tr>
        <w:trPr>
          <w:trHeight w:val="10" w:hRule="atLeast"/>
          <w:tblHeader w:val="1"/>
        </w:trPr>
        <w:tc>
          <w:tcPr>
            <w:shd w:val="clear" w:fill="D3D3D3"/>
          </w:tcPr>
          <w:p>
            <w:pPr>
              <w:jc w:val="center"/>
            </w:pPr>
            <w:r>
              <w:rPr>
                <w:b w:val="1"/>
                <w:bCs w:val="1"/>
              </w:rPr>
              <w:t xml:space="preserve"> TABELA 12 – DESCRIÇÃO DOS ESTOJOS</w:t>
            </w:r>
          </w:p>
        </w:tc>
      </w:tr>
      <w:tr>
        <w:trPr/>
        <w:tc>
          <w:tcPr>
            <w:tcW w:w="1900" w:type="dxa"/>
          </w:tcPr>
          <w:p>
            <w:pPr>
              <w:jc w:val="center"/>
            </w:pPr>
            <w:r>
              <w:rPr>
                <w:b w:val="1"/>
                <w:bCs w:val="1"/>
              </w:rPr>
              <w:t xml:space="preserve">Identificação</w:t>
            </w:r>
          </w:p>
        </w:tc>
        <w:tc>
          <w:tcPr>
            <w:tcW w:w="500" w:type="dxa"/>
          </w:tcPr>
          <w:p>
            <w:pPr>
              <w:jc w:val="center"/>
            </w:pPr>
            <w:r>
              <w:rPr>
                <w:b w:val="1"/>
                <w:bCs w:val="1"/>
              </w:rPr>
              <w:t xml:space="preserve">Qtd</w:t>
            </w:r>
          </w:p>
        </w:tc>
        <w:tc>
          <w:tcPr>
            <w:tcW w:w="1400" w:type="dxa"/>
          </w:tcPr>
          <w:p>
            <w:pPr>
              <w:jc w:val="center"/>
            </w:pPr>
            <w:r>
              <w:rPr>
                <w:b w:val="1"/>
                <w:bCs w:val="1"/>
              </w:rPr>
              <w:t xml:space="preserve">Calibre Nominal</w:t>
            </w:r>
          </w:p>
        </w:tc>
        <w:tc>
          <w:tcPr>
            <w:tcW w:w="1000" w:type="dxa"/>
          </w:tcPr>
          <w:p>
            <w:pPr>
              <w:jc w:val="center"/>
            </w:pPr>
            <w:r>
              <w:rPr>
                <w:b w:val="1"/>
                <w:bCs w:val="1"/>
              </w:rPr>
              <w:t xml:space="preserve">Marca</w:t>
            </w:r>
          </w:p>
        </w:tc>
        <w:tc>
          <w:tcPr>
            <w:tcW w:w="1400" w:type="dxa"/>
          </w:tcPr>
          <w:p>
            <w:pPr>
              <w:jc w:val="center"/>
            </w:pPr>
            <w:r>
              <w:rPr>
                <w:b w:val="1"/>
                <w:bCs w:val="1"/>
              </w:rPr>
              <w:t xml:space="preserve">Procedência</w:t>
            </w:r>
          </w:p>
        </w:tc>
        <w:tc>
          <w:tcPr>
            <w:tcW w:w="1500" w:type="dxa"/>
          </w:tcPr>
          <w:p>
            <w:pPr>
              <w:jc w:val="center"/>
            </w:pPr>
            <w:r>
              <w:rPr>
                <w:b w:val="1"/>
                <w:bCs w:val="1"/>
              </w:rPr>
              <w:t xml:space="preserve">Estojo (Lote)</w:t>
            </w:r>
          </w:p>
        </w:tc>
        <w:tc>
          <w:tcPr>
            <w:tcW w:w="1400" w:type="dxa"/>
          </w:tcPr>
          <w:p>
            <w:pPr>
              <w:jc w:val="center"/>
            </w:pPr>
            <w:r>
              <w:rPr>
                <w:b w:val="1"/>
                <w:bCs w:val="1"/>
              </w:rPr>
              <w:t xml:space="preserve">Calibre Nominal</w:t>
            </w:r>
          </w:p>
        </w:tc>
      </w:tr>
      <w:tr>
        <w:trPr>
          <w:trHeight w:val="10" w:hRule="atLeast"/>
          <w:tblHeader w:val="1"/>
        </w:trPr>
        <w:tc>
          <w:tcPr/>
          <w:p>
            <w:pPr>
              <w:jc w:val="center"/>
            </w:pPr>
            <w:r>
              <w:rPr/>
              <w:t xml:space="preserve">EQ 1 a EQ 3</w:t>
            </w:r>
          </w:p>
        </w:tc>
        <w:tc>
          <w:tcPr>
            <w:tcW w:w="600" w:type="dxa"/>
          </w:tcPr>
          <w:p>
            <w:pPr>
              <w:jc w:val="center"/>
            </w:pPr>
            <w:r>
              <w:rPr/>
              <w:t xml:space="preserve">3</w:t>
            </w:r>
          </w:p>
        </w:tc>
        <w:tc>
          <w:tcPr/>
          <w:p>
            <w:pPr>
              <w:jc w:val="center"/>
            </w:pPr>
            <w:r>
              <w:rPr/>
              <w:t xml:space="preserve">.380 AUTO</w:t>
            </w:r>
          </w:p>
        </w:tc>
        <w:tc>
          <w:tcPr>
            <w:tcW w:w="800" w:type="dxa"/>
          </w:tcPr>
          <w:p>
            <w:pPr>
              <w:jc w:val="center"/>
            </w:pPr>
            <w:r>
              <w:rPr/>
              <w:t xml:space="preserve">CBC</w:t>
            </w:r>
          </w:p>
        </w:tc>
        <w:tc>
          <w:tcPr/>
          <w:p>
            <w:pPr>
              <w:jc w:val="center"/>
            </w:pPr>
            <w:r>
              <w:rPr/>
              <w:t xml:space="preserve">BRASILEIRA</w:t>
            </w:r>
          </w:p>
        </w:tc>
        <w:tc>
          <w:tcPr/>
          <w:p>
            <w:pPr>
              <w:jc w:val="center"/>
            </w:pPr>
            <w:r>
              <w:rPr/>
              <w:t xml:space="preserve">LATONADO </w:t>
            </w:r>
          </w:p>
        </w:tc>
        <w:tc>
          <w:tcPr/>
          <w:p>
            <w:pPr>
              <w:jc w:val="center"/>
            </w:pPr>
            <w:r>
              <w:rPr/>
              <w:t xml:space="preserve">.380 AUTO</w:t>
            </w:r>
          </w:p>
        </w:tc>
      </w:tr>
    </w:tbl>
    <w:p/>
    <w:p>
      <w:pPr>
        <w:pStyle w:val="justify"/>
      </w:pPr>
      <w:r>
        <w:rPr>
          <w:rFonts w:ascii="Arial" w:hAnsi="Arial" w:eastAsia="Arial" w:cs="Arial"/>
          <w:sz w:val="24"/>
          <w:szCs w:val="24"/>
          <w:b w:val="0"/>
          <w:bCs w:val="0"/>
        </w:rPr>
        <w:t xml:space="preserve">Os </w:t>
      </w:r>
      <w:r>
        <w:rPr>
          <w:rFonts w:ascii="Arial" w:hAnsi="Arial" w:eastAsia="Arial" w:cs="Arial"/>
          <w:sz w:val="24"/>
          <w:szCs w:val="24"/>
          <w:b w:val="1"/>
          <w:bCs w:val="1"/>
          <w:u w:val="single"/>
        </w:rPr>
        <w:t xml:space="preserve">estojos percutido e deflagrado</w:t>
      </w:r>
      <w:r>
        <w:rPr>
          <w:rFonts w:ascii="Arial" w:hAnsi="Arial" w:eastAsia="Arial" w:cs="Arial"/>
          <w:sz w:val="24"/>
          <w:szCs w:val="24"/>
          <w:b w:val="0"/>
          <w:bCs w:val="0"/>
        </w:rPr>
        <w:t xml:space="preserve"> foram retornados à Central de Custódia, devidamente embalados, garantindo a integridade das marcas de percussão para futuros exames de comparação microbalística, prestando ainda como </w:t>
      </w:r>
      <w:r>
        <w:rPr>
          <w:rFonts w:ascii="Arial" w:hAnsi="Arial" w:eastAsia="Arial" w:cs="Arial"/>
          <w:sz w:val="24"/>
          <w:szCs w:val="24"/>
          <w:b w:val="1"/>
          <w:bCs w:val="1"/>
          <w:u w:val="single"/>
        </w:rPr>
        <w:t xml:space="preserve">prova material de disparo de arma de fogo. </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13 Tomada(s) fotográfica(s) Estojo(s) Lacre 0002046</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Estojo(s) calibre .380 AUTO</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Estojo(s) calibre .380 AUTO</w:t>
            </w:r>
          </w:p>
        </w:tc>
      </w:tr>
    </w:tbl>
    <w:p/>
    <w:p/>
    <w:p/>
    <w:p/>
    <w:p/>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Pr/>
      <w:r>
        <w:rPr>
          <w:rFonts w:ascii="Arial" w:hAnsi="Arial" w:eastAsia="Arial" w:cs="Arial"/>
          <w:sz w:val="24"/>
          <w:szCs w:val="24"/>
          <w:b w:val="0"/>
          <w:bCs w:val="0"/>
        </w:rPr>
        <w:t xml:space="preserve">•   cartuchos item 2 encontravam-se eficientes para a realização de tiros.</w:t>
      </w:r>
    </w:p>
    <w:p>
      <w:pPr/>
      <w:r>
        <w:rPr>
          <w:rFonts w:ascii="Arial" w:hAnsi="Arial" w:eastAsia="Arial" w:cs="Arial"/>
          <w:sz w:val="24"/>
          <w:szCs w:val="24"/>
          <w:b w:val="0"/>
          <w:bCs w:val="0"/>
        </w:rPr>
        <w:t xml:space="preserve">•   cartuchos item 3 encontravam-se eficientes para a realização de tiros.</w:t>
      </w:r>
    </w:p>
    <w:p>
      <w:pPr/>
      <w:r>
        <w:rPr>
          <w:rFonts w:ascii="Arial" w:hAnsi="Arial" w:eastAsia="Arial" w:cs="Arial"/>
          <w:sz w:val="24"/>
          <w:szCs w:val="24"/>
          <w:b w:val="0"/>
          <w:bCs w:val="0"/>
        </w:rPr>
        <w:t xml:space="preserve">•   cartuchos item 4 encontravam-se eficientes para a realização de tiros.</w:t>
      </w:r>
    </w:p>
    <w:p>
      <w:pPr/>
      <w:r>
        <w:rPr>
          <w:rFonts w:ascii="Arial" w:hAnsi="Arial" w:eastAsia="Arial" w:cs="Arial"/>
          <w:sz w:val="24"/>
          <w:szCs w:val="24"/>
          <w:b w:val="0"/>
          <w:bCs w:val="0"/>
        </w:rPr>
        <w:t xml:space="preserve">•   cartuchos item 5 encontravam-se eficientes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V230241567 (Arma AF-A), nº 0002046 (Cartucho percutido e não deflagrado),  nº 0002046 (Estojo percutido e deflagrado), conforme requerido pelos artigos 158-A a 158-F do Código de Processo Penal (Lei nº 13.964/2019), e encaminhado para a Central de Custódia da Polícia Científica do Paraná. Cumpre ressaltar que os padrões balísticos elegíveis para inclusão no Banco Nacional de Perfis Balísticos (BNPB) devem ser armazenados pelo prazo de 20 anos conforme definido no Procedimento Operacional do Sistema Nacional de Análise Balística (SINAB), independentemente de futura destruição da arma.</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ANDRE DIAS COELHO</w:t>
            </w:r>
          </w:p>
          <w:p>
            <w:pPr>
              <w:jc w:val="center"/>
            </w:pPr>
            <w:r>
              <w:rPr>
                <w:sz w:val="28"/>
                <w:szCs w:val="28"/>
                <w:b w:val="1"/>
                <w:bCs w:val="1"/>
              </w:rPr>
              <w:t xml:space="preserve">Perito(a) Criminal – Seção de Balística Forense</w:t>
            </w:r>
          </w:p>
          <w:p>
            <w:pPr>
              <w:jc w:val="center"/>
            </w:pPr>
            <w:r>
              <w:rPr>
                <w:sz w:val="28"/>
                <w:szCs w:val="28"/>
                <w:b w:val="1"/>
                <w:bCs w:val="1"/>
              </w:rPr>
              <w:t xml:space="preserve">UETC Curitiba – Polícia Científica do Paraná</w:t>
            </w:r>
          </w:p>
        </w:tc>
      </w:tr>
    </w:tbl>
    <w:sectPr>
      <w:headerReference w:type="default" r:id="rId14"/>
      <w:footerReference w:type="default" r:id="rId15"/>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99.690/2024</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image" Target="media/section_image6.png"/><Relationship Id="rId13" Type="http://schemas.openxmlformats.org/officeDocument/2006/relationships/image" Target="media/section_image7.png"/><Relationship Id="rId14" Type="http://schemas.openxmlformats.org/officeDocument/2006/relationships/header" Target="header1.xml"/><Relationship Id="rId1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2025-02-13T17:41:58+00:00</dcterms:created>
  <dcterms:modified xsi:type="dcterms:W3CDTF">2025-02-13T17:41:58+00:00</dcterms:modified>
</cp:coreProperties>
</file>

<file path=docProps/custom.xml><?xml version="1.0" encoding="utf-8"?>
<Properties xmlns="http://schemas.openxmlformats.org/officeDocument/2006/custom-properties" xmlns:vt="http://schemas.openxmlformats.org/officeDocument/2006/docPropsVTypes"/>
</file>