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08/03/2023</w:t>
      </w:r>
      <w:r>
        <w:rPr>
          <w:rFonts w:ascii="Arial" w:hAnsi="Arial" w:eastAsia="Arial" w:cs="Arial"/>
          <w:sz w:val="24"/>
          <w:szCs w:val="24"/>
          <w:b w:val="0"/>
          <w:bCs w:val="0"/>
        </w:rPr>
        <w:t xml:space="preserve"> a fim de ser atendida solicitação contida no Ofício nº 123123, datado de 10/03/2023, oriundo da pppppppppppppppppppppppppp.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GIL</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MUNIÇÃO</w:t>
            </w:r>
          </w:p>
        </w:tc>
        <w:tc>
          <w:tcPr/>
          <w:p>
            <w:pPr>
              <w:jc w:val="center"/>
            </w:pPr>
            <w:r>
              <w:rPr/>
              <w:t xml:space="preserve">9</w:t>
            </w:r>
          </w:p>
        </w:tc>
        <w:tc>
          <w:tcPr/>
          <w:p>
            <w:pPr>
              <w:jc w:val="center"/>
            </w:pPr>
            <w:r>
              <w:rPr/>
              <w:t xml:space="preserve">CARTUCHO</w:t>
            </w:r>
          </w:p>
        </w:tc>
        <w:tc>
          <w:tcPr/>
          <w:p>
            <w:pPr>
              <w:jc w:val="center"/>
            </w:pPr>
            <w:r>
              <w:rPr/>
              <w:t xml:space="preserve">AGUILA</w:t>
            </w:r>
          </w:p>
        </w:tc>
        <w:tc>
          <w:tcPr/>
          <w:p>
            <w:pPr>
              <w:jc w:val="center"/>
            </w:pPr>
            <w:r>
              <w:rPr/>
              <w:t xml:space="preserve">456456</w:t>
            </w:r>
          </w:p>
        </w:tc>
      </w:tr>
      <w:tr>
        <w:trPr>
          <w:trHeight w:val="10" w:hRule="atLeast"/>
          <w:cantSplit w:val="1"/>
        </w:trPr>
        <w:tc>
          <w:tcPr/>
          <w:p>
            <w:pPr>
              <w:jc w:val="center"/>
            </w:pPr>
            <w:r>
              <w:rPr/>
              <w:t xml:space="preserve">2</w:t>
            </w:r>
          </w:p>
        </w:tc>
        <w:tc>
          <w:tcPr/>
          <w:p>
            <w:pPr>
              <w:jc w:val="center"/>
            </w:pPr>
            <w:r>
              <w:rPr/>
              <w:t xml:space="preserve">MUNIÇÃO</w:t>
            </w:r>
          </w:p>
        </w:tc>
        <w:tc>
          <w:tcPr/>
          <w:p>
            <w:pPr>
              <w:jc w:val="center"/>
            </w:pPr>
            <w:r>
              <w:rPr/>
              <w:t xml:space="preserve">8</w:t>
            </w:r>
          </w:p>
        </w:tc>
        <w:tc>
          <w:tcPr/>
          <w:p>
            <w:pPr>
              <w:jc w:val="center"/>
            </w:pPr>
            <w:r>
              <w:rPr/>
              <w:t xml:space="preserve">CARTUCHO</w:t>
            </w:r>
          </w:p>
        </w:tc>
        <w:tc>
          <w:tcPr/>
          <w:p>
            <w:pPr>
              <w:jc w:val="center"/>
            </w:pPr>
            <w:r>
              <w:rPr/>
              <w:t xml:space="preserve">AGUILA</w:t>
            </w:r>
          </w:p>
        </w:tc>
        <w:tc>
          <w:tcPr/>
          <w:p>
            <w:pPr>
              <w:jc w:val="center"/>
            </w:pPr>
            <w:r>
              <w:rPr/>
              <w:t xml:space="preserve">456456456</w:t>
            </w:r>
          </w:p>
        </w:tc>
      </w:tr>
      <w:tr>
        <w:trPr>
          <w:trHeight w:val="10" w:hRule="atLeast"/>
          <w:cantSplit w:val="1"/>
        </w:trPr>
        <w:tc>
          <w:tcPr/>
          <w:p>
            <w:pPr>
              <w:jc w:val="center"/>
            </w:pPr>
            <w:r>
              <w:rPr/>
              <w:t xml:space="preserve">3</w:t>
            </w:r>
          </w:p>
        </w:tc>
        <w:tc>
          <w:tcPr/>
          <w:p>
            <w:pPr>
              <w:jc w:val="center"/>
            </w:pPr>
            <w:r>
              <w:rPr/>
              <w:t xml:space="preserve">MUNIÇÃO</w:t>
            </w:r>
          </w:p>
        </w:tc>
        <w:tc>
          <w:tcPr/>
          <w:p>
            <w:pPr>
              <w:jc w:val="center"/>
            </w:pPr>
            <w:r>
              <w:rPr/>
              <w:t xml:space="preserve">2</w:t>
            </w:r>
          </w:p>
        </w:tc>
        <w:tc>
          <w:tcPr/>
          <w:p>
            <w:pPr>
              <w:jc w:val="center"/>
            </w:pPr>
            <w:r>
              <w:rPr/>
              <w:t xml:space="preserve">ESTOJO</w:t>
            </w:r>
          </w:p>
        </w:tc>
        <w:tc>
          <w:tcPr/>
          <w:p>
            <w:pPr>
              <w:jc w:val="center"/>
            </w:pPr>
            <w:r>
              <w:rPr/>
              <w:t xml:space="preserve">CBC</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9</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NIQUELADA</w:t>
            </w:r>
          </w:p>
        </w:tc>
        <w:tc>
          <w:tcPr>
            <w:tcW w:w="1550" w:type="dxa"/>
          </w:tcPr>
          <w:p>
            <w:pPr>
              <w:jc w:val="center"/>
            </w:pPr>
            <w:r>
              <w:rPr/>
              <w:t xml:space="preserve">ALUMÍNIO (45645)</w:t>
            </w:r>
          </w:p>
        </w:tc>
        <w:tc>
          <w:tcPr>
            <w:tcW w:w="820" w:type="dxa"/>
          </w:tcPr>
          <w:p>
            <w:pPr>
              <w:jc w:val="center"/>
            </w:pPr>
            <w:r>
              <w:rPr/>
              <w:t xml:space="preserve">CHCV</w:t>
            </w:r>
          </w:p>
        </w:tc>
        <w:tc>
          <w:tcPr>
            <w:tcW w:w="1250" w:type="dxa"/>
          </w:tcPr>
          <w:p>
            <w:pPr>
              <w:jc w:val="center"/>
            </w:pPr>
            <w:r>
              <w:rPr/>
              <w:t xml:space="preserve">INTACTO teste</w:t>
            </w:r>
          </w:p>
        </w:tc>
      </w:tr>
      <w:tr>
        <w:trPr>
          <w:trHeight w:val="10" w:hRule="atLeast"/>
        </w:trPr>
        <w:tc>
          <w:tcPr/>
          <w:p>
            <w:pPr/>
            <w:r>
              <w:rPr>
                <w:sz w:val="18"/>
                <w:szCs w:val="18"/>
                <w:b w:val="1"/>
                <w:bCs w:val="1"/>
              </w:rPr>
              <w:t xml:space="preserve">Legenda:</w:t>
            </w:r>
          </w:p>
          <w:p>
            <w:pPr/>
            <w:r>
              <w:rPr>
                <w:sz w:val="16"/>
                <w:szCs w:val="16"/>
                <w:b w:val="0"/>
                <w:bCs w:val="0"/>
              </w:rPr>
              <w:t xml:space="preserve">CHCV-- Chumbo Canto Vivo</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Lacre 456456</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8</w:t>
            </w:r>
          </w:p>
        </w:tc>
        <w:tc>
          <w:tcPr>
            <w:tcW w:w="1250" w:type="dxa"/>
          </w:tcPr>
          <w:p>
            <w:pPr>
              <w:jc w:val="center"/>
            </w:pPr>
            <w:r>
              <w:rPr/>
              <w:t xml:space="preserve">.25ACP</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AÇO</w:t>
            </w:r>
          </w:p>
        </w:tc>
        <w:tc>
          <w:tcPr>
            <w:tcW w:w="1550" w:type="dxa"/>
          </w:tcPr>
          <w:p>
            <w:pPr>
              <w:jc w:val="center"/>
            </w:pPr>
            <w:r>
              <w:rPr/>
              <w:t xml:space="preserve">NIQUELADO (45645)</w:t>
            </w:r>
          </w:p>
        </w:tc>
        <w:tc>
          <w:tcPr>
            <w:tcW w:w="820" w:type="dxa"/>
          </w:tcPr>
          <w:p>
            <w:pPr>
              <w:jc w:val="center"/>
            </w:pPr>
            <w:r>
              <w:rPr/>
              <w:t xml:space="preserve">CHCV</w:t>
            </w:r>
          </w:p>
        </w:tc>
        <w:tc>
          <w:tcPr>
            <w:tcW w:w="1250" w:type="dxa"/>
          </w:tcPr>
          <w:p>
            <w:pPr>
              <w:jc w:val="center"/>
            </w:pPr>
            <w:r>
              <w:rPr/>
              <w:t xml:space="preserve">PERCUTIDO E NÃO DEFLAGRADO teste</w:t>
            </w:r>
          </w:p>
        </w:tc>
      </w:tr>
      <w:tr>
        <w:trPr>
          <w:trHeight w:val="10" w:hRule="atLeast"/>
        </w:trPr>
        <w:tc>
          <w:tcPr/>
          <w:p>
            <w:pPr/>
            <w:r>
              <w:rPr>
                <w:sz w:val="18"/>
                <w:szCs w:val="18"/>
                <w:b w:val="1"/>
                <w:bCs w:val="1"/>
              </w:rPr>
              <w:t xml:space="preserve">Legenda:</w:t>
            </w:r>
          </w:p>
          <w:p>
            <w:pPr/>
            <w:r>
              <w:rPr>
                <w:sz w:val="16"/>
                <w:szCs w:val="16"/>
                <w:b w:val="0"/>
                <w:bCs w:val="0"/>
              </w:rPr>
              <w:t xml:space="preserve">CHCV-- Chumbo Canto Vivo</w:t>
            </w:r>
          </w:p>
        </w:tc>
      </w:tr>
    </w:tbl>
    <w:p/>
    <w:p>
      <w:pPr>
        <w:pStyle w:val="justify"/>
      </w:pPr>
      <w:r>
        <w:rPr>
          <w:rFonts w:ascii="Arial" w:hAnsi="Arial" w:eastAsia="Arial" w:cs="Arial"/>
          <w:sz w:val="24"/>
          <w:szCs w:val="24"/>
          <w:b w:val="0"/>
          <w:bCs w:val="0"/>
        </w:rPr>
        <w:t xml:space="preserve">Os cartuchos percutidos e não deflagrados foram retornados à Central de Custódia, devidamente embalados com </w:t>
      </w:r>
      <w:r>
        <w:rPr>
          <w:rFonts w:ascii="Arial" w:hAnsi="Arial" w:eastAsia="Arial" w:cs="Arial"/>
          <w:sz w:val="24"/>
          <w:szCs w:val="24"/>
          <w:b w:val="1"/>
          <w:bCs w:val="1"/>
        </w:rPr>
        <w:t xml:space="preserve">Lacre 6456546</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w:t>
      </w:r>
    </w:p>
    <w:p/>
    <w:p>
      <w:pPr>
        <w:pStyle w:val="justify"/>
      </w:pPr>
      <w:r>
        <w:rPr>
          <w:rFonts w:ascii="Arial" w:hAnsi="Arial" w:eastAsia="Arial" w:cs="Arial"/>
          <w:sz w:val="24"/>
          <w:szCs w:val="24"/>
          <w:b w:val="1"/>
          <w:bCs w:val="1"/>
        </w:rPr>
        <w:t xml:space="preserve">3.3 DOS ESTOJOS</w:t>
      </w:r>
    </w:p>
    <w:p>
      <w:pPr>
        <w:pStyle w:val="justify"/>
      </w:pPr>
      <w:r>
        <w:rPr>
          <w:rFonts w:ascii="Arial" w:hAnsi="Arial" w:eastAsia="Arial" w:cs="Arial"/>
          <w:sz w:val="24"/>
          <w:szCs w:val="24"/>
          <w:b w:val="0"/>
          <w:bCs w:val="0"/>
        </w:rPr>
        <w:t xml:space="preserve">Trata-se de estojos provenientes de estojos próprios para uso em armas de fogo, percutido e deflagrado ,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rPr>
        <w:tc>
          <w:tcPr>
            <w:shd w:val="clear" w:fill="D3D3D3"/>
          </w:tcPr>
          <w:p>
            <w:pPr>
              <w:jc w:val="center"/>
            </w:pPr>
            <w:r>
              <w:rPr>
                <w:b w:val="1"/>
                <w:bCs w:val="1"/>
              </w:rPr>
              <w:t xml:space="preserve"> TABELA 3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 Lote</w:t>
            </w:r>
          </w:p>
        </w:tc>
        <w:tc>
          <w:tcPr>
            <w:tcW w:w="1400" w:type="dxa"/>
          </w:tcPr>
          <w:p>
            <w:pPr>
              <w:jc w:val="center"/>
            </w:pPr>
            <w:r>
              <w:rPr>
                <w:b w:val="1"/>
                <w:bCs w:val="1"/>
              </w:rPr>
              <w:t xml:space="preserve">Observação</w:t>
            </w:r>
          </w:p>
        </w:tc>
      </w:tr>
      <w:tr>
        <w:trPr>
          <w:trHeight w:val="10" w:hRule="atLeast"/>
        </w:trPr>
        <w:tc>
          <w:tcPr/>
          <w:p>
            <w:pPr>
              <w:jc w:val="center"/>
            </w:pPr>
            <w:r>
              <w:rPr/>
              <w:t xml:space="preserve">EQ 1</w:t>
            </w:r>
          </w:p>
        </w:tc>
        <w:tc>
          <w:tcPr>
            <w:tcW w:w="600" w:type="dxa"/>
          </w:tcPr>
          <w:p>
            <w:pPr>
              <w:jc w:val="center"/>
            </w:pPr>
            <w:r>
              <w:rPr/>
              <w:t xml:space="preserve">2</w:t>
            </w:r>
          </w:p>
        </w:tc>
        <w:tc>
          <w:tcPr/>
          <w:p>
            <w:pPr>
              <w:jc w:val="center"/>
            </w:pPr>
            <w:r>
              <w:rPr/>
              <w:t xml:space="preserve">.25ACP</w:t>
            </w:r>
          </w:p>
        </w:tc>
        <w:tc>
          <w:tcPr>
            <w:tcW w:w="800" w:type="dxa"/>
          </w:tcPr>
          <w:p>
            <w:pPr>
              <w:jc w:val="center"/>
            </w:pPr>
            <w:r>
              <w:rPr/>
              <w:t xml:space="preserve">CBC</w:t>
            </w:r>
          </w:p>
        </w:tc>
        <w:tc>
          <w:tcPr/>
          <w:p>
            <w:pPr>
              <w:jc w:val="center"/>
            </w:pPr>
            <w:r>
              <w:rPr/>
              <w:t xml:space="preserve">BRASILEIRA</w:t>
            </w:r>
          </w:p>
        </w:tc>
        <w:tc>
          <w:tcPr/>
          <w:p>
            <w:pPr>
              <w:jc w:val="center"/>
            </w:pPr>
            <w:r>
              <w:rPr/>
              <w:t xml:space="preserve">COBRE</w:t>
            </w:r>
          </w:p>
        </w:tc>
        <w:tc>
          <w:tcPr/>
          <w:p>
            <w:pPr>
              <w:jc w:val="center"/>
            </w:pPr>
            <w:r>
              <w:rPr/>
              <w:t xml:space="preserve">NIQUELADO  (123)</w:t>
            </w:r>
          </w:p>
        </w:tc>
        <w:tc>
          <w:tcPr/>
          <w:p>
            <w:pPr>
              <w:jc w:val="center"/>
            </w:pPr>
            <w:r>
              <w:rPr/>
              <w:t xml:space="preserve">PERCUTIDO E DEFLAGRADO  TESTE</w:t>
            </w:r>
          </w:p>
        </w:tc>
      </w:tr>
    </w:tbl>
    <w:p/>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percutido e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Estojo (percutido e deflagrado) 456456 Cartucho (intacto) 6456546 (percutido e não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111111/2011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2023-03-10T17:41:04+00:00</dcterms:created>
  <dcterms:modified xsi:type="dcterms:W3CDTF">2023-03-10T17:41:04+00:00</dcterms:modified>
</cp:coreProperties>
</file>

<file path=docProps/custom.xml><?xml version="1.0" encoding="utf-8"?>
<Properties xmlns="http://schemas.openxmlformats.org/officeDocument/2006/custom-properties" xmlns:vt="http://schemas.openxmlformats.org/officeDocument/2006/docPropsVTypes"/>
</file>