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Vitima</w:t>
            </w:r>
          </w:p>
        </w:tc>
        <w:tc>
          <w:tcPr>
            <w:tcW w:w="2000" w:type="dxa"/>
          </w:tcPr>
          <w:p>
            <w:pPr>
              <w:jc w:val="center"/>
            </w:pPr>
            <w:r>
              <w:rPr/>
              <w:t xml:space="preserve">Rael de Camargo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Frederico de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10/01/2023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CBC</w:t>
            </w:r>
          </w:p>
        </w:tc>
        <w:tc>
          <w:tcPr/>
          <w:p>
            <w:pPr>
              <w:jc w:val="center"/>
            </w:pPr>
            <w:r>
              <w:rPr/>
              <w:t xml:space="preserve">31234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CBC</w:t>
            </w:r>
          </w:p>
        </w:tc>
        <w:tc>
          <w:tcPr/>
          <w:p>
            <w:pPr>
              <w:jc w:val="center"/>
            </w:pPr>
            <w:r>
              <w:rPr/>
              <w:t xml:space="preserve">Brasileira</w:t>
            </w:r>
          </w:p>
        </w:tc>
        <w:tc>
          <w:tcPr/>
          <w:p>
            <w:pPr>
              <w:jc w:val="center"/>
            </w:pPr>
            <w:r>
              <w:rPr/>
              <w:t xml:space="preserve">Niquelada</w:t>
            </w:r>
          </w:p>
        </w:tc>
        <w:tc>
          <w:tcPr/>
          <w:p>
            <w:pPr>
              <w:jc w:val="center"/>
            </w:pPr>
            <w:r>
              <w:rPr/>
              <w:t xml:space="preserve">Latonado (12312)</w:t>
            </w:r>
          </w:p>
        </w:tc>
        <w:tc>
          <w:tcPr/>
          <w:p>
            <w:pPr>
              <w:jc w:val="center"/>
            </w:pPr>
            <w:r>
              <w:rPr/>
              <w:t xml:space="preserve">ETHS</w:t>
            </w:r>
          </w:p>
        </w:tc>
        <w:tc>
          <w:tcPr/>
          <w:p>
            <w:pPr>
              <w:jc w:val="center"/>
            </w:pPr>
            <w:r>
              <w:rPr/>
              <w:t xml:space="preserve">percutido e não deflagrado / ghfgh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53453</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2023-01-31T16:48:17+00:00</dcterms:created>
  <dcterms:modified xsi:type="dcterms:W3CDTF">2023-01-31T16:48:17+00:00</dcterms:modified>
</cp:coreProperties>
</file>

<file path=docProps/custom.xml><?xml version="1.0" encoding="utf-8"?>
<Properties xmlns="http://schemas.openxmlformats.org/officeDocument/2006/custom-properties" xmlns:vt="http://schemas.openxmlformats.org/officeDocument/2006/docPropsVTypes"/>
</file>